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line="400" w:lineRule="exact"/>
        <w:jc w:val="center"/>
        <w:textAlignment w:val="auto"/>
        <w:rPr>
          <w:rFonts w:hint="eastAsia"/>
          <w:sz w:val="36"/>
          <w:szCs w:val="36"/>
          <w:lang w:val="en-US" w:eastAsia="zh-CN"/>
        </w:rPr>
      </w:pPr>
      <w:r>
        <w:rPr>
          <w:rFonts w:hint="eastAsia"/>
          <w:sz w:val="36"/>
          <w:szCs w:val="36"/>
          <w:lang w:val="en-US" w:eastAsia="zh-CN"/>
        </w:rPr>
        <w:t>广东工贸职业技术学院</w:t>
      </w:r>
    </w:p>
    <w:p>
      <w:pPr>
        <w:pStyle w:val="3"/>
        <w:keepNext/>
        <w:keepLines/>
        <w:pageBreakBefore w:val="0"/>
        <w:widowControl w:val="0"/>
        <w:kinsoku/>
        <w:wordWrap/>
        <w:overflowPunct/>
        <w:topLinePunct w:val="0"/>
        <w:autoSpaceDE/>
        <w:autoSpaceDN/>
        <w:bidi w:val="0"/>
        <w:adjustRightInd/>
        <w:snapToGrid/>
        <w:spacing w:line="400" w:lineRule="exact"/>
        <w:jc w:val="center"/>
        <w:textAlignment w:val="auto"/>
        <w:rPr>
          <w:rFonts w:hint="eastAsia"/>
          <w:sz w:val="36"/>
          <w:szCs w:val="36"/>
          <w:lang w:val="en-US" w:eastAsia="zh-CN"/>
        </w:rPr>
      </w:pPr>
      <w:bookmarkStart w:id="0" w:name="_GoBack"/>
      <w:r>
        <w:rPr>
          <w:rFonts w:hint="eastAsia"/>
          <w:sz w:val="36"/>
          <w:szCs w:val="36"/>
          <w:lang w:val="en-US" w:eastAsia="zh-CN"/>
        </w:rPr>
        <w:t>制订2021级人才培养方案工作重点说明</w:t>
      </w:r>
    </w:p>
    <w:bookmarkEnd w:id="0"/>
    <w:p>
      <w:pPr>
        <w:rPr>
          <w:rFonts w:hint="eastAsia"/>
          <w:lang w:val="en-US" w:eastAsia="zh-CN"/>
        </w:rPr>
      </w:pPr>
    </w:p>
    <w:p>
      <w:pPr>
        <w:pStyle w:val="3"/>
        <w:bidi w:val="0"/>
        <w:rPr>
          <w:rFonts w:hint="eastAsia"/>
          <w:lang w:val="en-US" w:eastAsia="zh-CN"/>
        </w:rPr>
      </w:pPr>
      <w:r>
        <w:rPr>
          <w:rFonts w:hint="eastAsia"/>
          <w:lang w:val="en-US" w:eastAsia="zh-CN"/>
        </w:rPr>
        <w:t>一、加快推进数字化课程建设与混合式教学</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各专业做好信息化建设规划，每专业至少建设一门数字化专业技术平台课程和一门专业技术方向课程，开展混合式教学，减少传统课堂线下面授课时。</w:t>
      </w:r>
    </w:p>
    <w:p>
      <w:pPr>
        <w:pStyle w:val="3"/>
        <w:bidi w:val="0"/>
        <w:rPr>
          <w:rFonts w:hint="eastAsia"/>
          <w:b/>
          <w:lang w:val="en-US" w:eastAsia="zh-CN"/>
        </w:rPr>
      </w:pPr>
      <w:r>
        <w:rPr>
          <w:rFonts w:hint="eastAsia"/>
          <w:b/>
          <w:lang w:val="en-US" w:eastAsia="zh-CN"/>
        </w:rPr>
        <w:t>二、德育课程体系说明</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德育课程包括由思想政治理论课构成的知识性德育课程、由学校思想政治工作人员组织实施的实践性德育课程、由校园文化建设等因素形成的知行统一的隐性德育谋程。</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知识性德育课程的教学内客，包括思想政治理论课、人文选修课、大学生心理健康课、军事课。其中，思想政治理论课是对学生系統进行思想政治教育的主渠道和基本坏节，是每个学生的必修课程，是社会主义办学方向的基本特征之一，包括思想道德修养与法律基础、廉洁修身、毛泽东思想和中国特色社会主义理论概论、大学生职业发展与就业指导、形势与政策；人文选修课是对大学生进行人文精神培养的重要途径，列入公共选修课或者创新创业特色课程；大学生心理健康教育是必修课程，实施混合式教学；军事课包括军事理论与军事技能训练两门课程，均为必修课，各2学分。</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实践性德育课程贯穿于校园生活、生产实习、毕业实习、教学实习中，以社会考察、社会调查、公益劳动、社会服务、军事训练、勤工助学等实践活动方式实施。</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隐性德育课程来自课程思政、学校制度、校园传统、校园气氛、集体舆论、软硬件材料等一切媒介等，对学生产生潜移默化的影响，尤其教师言行对学生态度和认识的形成发挥着导向作用。学校实施三全育人，所有课程实施课程思政，加强交互式教学模式，发挥学生的主体作用。</w:t>
      </w:r>
    </w:p>
    <w:p>
      <w:pPr>
        <w:pStyle w:val="3"/>
        <w:bidi w:val="0"/>
        <w:rPr>
          <w:rFonts w:hint="eastAsia"/>
          <w:b/>
          <w:lang w:val="en-US" w:eastAsia="zh-CN"/>
        </w:rPr>
      </w:pPr>
      <w:r>
        <w:rPr>
          <w:rFonts w:hint="eastAsia"/>
          <w:b/>
          <w:lang w:val="en-US" w:eastAsia="zh-CN"/>
        </w:rPr>
        <w:t>三、体育课程体系说明</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体育课程为必修课，在第一、第二学期以必修课程形式开设，之外以俱乐部形式开设（不列入人才培养方案），学生参加俱乐部体育活动累计达24学时及以上，可且仅可兑换1学分。</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1.根据教育部关于印发《国家学生体质健康标准（2014年）修订》的通知（教体艺【2014】5号）文件要求，体质测试成绩达不到50分者按结业或肄业处理。</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2</w:t>
      </w:r>
      <w:r>
        <w:rPr>
          <w:rFonts w:cs="Arial"/>
          <w:color w:val="333333"/>
        </w:rPr>
        <w:t>.</w:t>
      </w:r>
      <w:r>
        <w:rPr>
          <w:rFonts w:hint="eastAsia" w:cs="Arial"/>
          <w:color w:val="333333"/>
        </w:rPr>
        <w:t>根据《广东省学校体育三年行动计划（2015-2017）》要求，每个学生需修满体育类课程108学时（三年制）或者96学时（两年制）以上，具体由以下三类课程组成，共5学分。</w:t>
      </w:r>
    </w:p>
    <w:p>
      <w:pPr>
        <w:adjustRightInd w:val="0"/>
        <w:snapToGrid w:val="0"/>
        <w:spacing w:line="360" w:lineRule="auto"/>
        <w:ind w:firstLine="420" w:firstLineChars="200"/>
        <w:rPr>
          <w:rFonts w:asciiTheme="majorEastAsia" w:hAnsiTheme="majorEastAsia" w:eastAsiaTheme="majorEastAsia"/>
        </w:rPr>
      </w:pPr>
    </w:p>
    <w:tbl>
      <w:tblPr>
        <w:tblStyle w:val="7"/>
        <w:tblW w:w="793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92"/>
        <w:gridCol w:w="241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rPr>
                <w:b/>
                <w:kern w:val="0"/>
                <w:sz w:val="18"/>
                <w:szCs w:val="18"/>
              </w:rPr>
            </w:pPr>
            <w:r>
              <w:rPr>
                <w:rFonts w:hint="eastAsia"/>
                <w:b/>
                <w:kern w:val="0"/>
                <w:sz w:val="18"/>
                <w:szCs w:val="18"/>
              </w:rPr>
              <w:t>序号</w:t>
            </w:r>
          </w:p>
        </w:tc>
        <w:tc>
          <w:tcPr>
            <w:tcW w:w="992" w:type="dxa"/>
            <w:vAlign w:val="center"/>
          </w:tcPr>
          <w:p>
            <w:pPr>
              <w:jc w:val="center"/>
              <w:rPr>
                <w:b/>
                <w:kern w:val="0"/>
                <w:sz w:val="18"/>
                <w:szCs w:val="18"/>
              </w:rPr>
            </w:pPr>
            <w:r>
              <w:rPr>
                <w:rFonts w:hint="eastAsia"/>
                <w:b/>
                <w:kern w:val="0"/>
                <w:sz w:val="18"/>
                <w:szCs w:val="18"/>
              </w:rPr>
              <w:t>体育类课程</w:t>
            </w:r>
          </w:p>
        </w:tc>
        <w:tc>
          <w:tcPr>
            <w:tcW w:w="2410" w:type="dxa"/>
            <w:vAlign w:val="center"/>
          </w:tcPr>
          <w:p>
            <w:pPr>
              <w:jc w:val="center"/>
              <w:rPr>
                <w:b/>
                <w:kern w:val="0"/>
                <w:sz w:val="18"/>
                <w:szCs w:val="18"/>
              </w:rPr>
            </w:pPr>
            <w:r>
              <w:rPr>
                <w:rFonts w:hint="eastAsia"/>
                <w:b/>
                <w:kern w:val="0"/>
                <w:sz w:val="18"/>
                <w:szCs w:val="18"/>
              </w:rPr>
              <w:t>学时（学分）</w:t>
            </w:r>
          </w:p>
        </w:tc>
        <w:tc>
          <w:tcPr>
            <w:tcW w:w="3827" w:type="dxa"/>
            <w:vAlign w:val="center"/>
          </w:tcPr>
          <w:p>
            <w:pPr>
              <w:jc w:val="center"/>
              <w:rPr>
                <w:b/>
                <w:kern w:val="0"/>
                <w:sz w:val="18"/>
                <w:szCs w:val="18"/>
              </w:rPr>
            </w:pPr>
            <w:r>
              <w:rPr>
                <w:rFonts w:hint="eastAsia"/>
                <w:b/>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jc w:val="center"/>
              <w:rPr>
                <w:kern w:val="0"/>
                <w:sz w:val="18"/>
                <w:szCs w:val="20"/>
              </w:rPr>
            </w:pPr>
            <w:r>
              <w:rPr>
                <w:rFonts w:hint="eastAsia"/>
                <w:kern w:val="0"/>
                <w:sz w:val="18"/>
                <w:szCs w:val="20"/>
              </w:rPr>
              <w:t>1</w:t>
            </w:r>
          </w:p>
        </w:tc>
        <w:tc>
          <w:tcPr>
            <w:tcW w:w="992" w:type="dxa"/>
            <w:vAlign w:val="center"/>
          </w:tcPr>
          <w:p>
            <w:pPr>
              <w:rPr>
                <w:kern w:val="0"/>
                <w:sz w:val="18"/>
                <w:szCs w:val="20"/>
              </w:rPr>
            </w:pPr>
            <w:r>
              <w:rPr>
                <w:rFonts w:hint="eastAsia"/>
                <w:kern w:val="0"/>
                <w:sz w:val="18"/>
                <w:szCs w:val="20"/>
              </w:rPr>
              <w:t>职业体育</w:t>
            </w:r>
          </w:p>
        </w:tc>
        <w:tc>
          <w:tcPr>
            <w:tcW w:w="2410" w:type="dxa"/>
            <w:vAlign w:val="center"/>
          </w:tcPr>
          <w:p>
            <w:pPr>
              <w:rPr>
                <w:kern w:val="0"/>
                <w:sz w:val="18"/>
                <w:szCs w:val="20"/>
              </w:rPr>
            </w:pPr>
            <w:r>
              <w:rPr>
                <w:rFonts w:hint="eastAsia"/>
                <w:kern w:val="0"/>
                <w:sz w:val="18"/>
                <w:szCs w:val="20"/>
              </w:rPr>
              <w:t>72学时（3学分）</w:t>
            </w:r>
          </w:p>
        </w:tc>
        <w:tc>
          <w:tcPr>
            <w:tcW w:w="3827" w:type="dxa"/>
            <w:vAlign w:val="center"/>
          </w:tcPr>
          <w:p>
            <w:pPr>
              <w:rPr>
                <w:kern w:val="0"/>
                <w:sz w:val="18"/>
                <w:szCs w:val="20"/>
              </w:rPr>
            </w:pPr>
            <w:r>
              <w:rPr>
                <w:rFonts w:hint="eastAsia"/>
                <w:kern w:val="0"/>
                <w:sz w:val="18"/>
                <w:szCs w:val="20"/>
              </w:rPr>
              <w:t>第一、第二学期以必修课程形式开设，第三、第学期以俱乐部形式开设选修，学生参加俱乐部体育活动累计达24学时，可且最多兑换1学分。第四学期体能锻炼10学时.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jc w:val="center"/>
              <w:rPr>
                <w:kern w:val="0"/>
                <w:sz w:val="18"/>
                <w:szCs w:val="20"/>
              </w:rPr>
            </w:pPr>
            <w:r>
              <w:rPr>
                <w:rFonts w:hint="eastAsia"/>
                <w:kern w:val="0"/>
                <w:sz w:val="18"/>
                <w:szCs w:val="20"/>
              </w:rPr>
              <w:t>2</w:t>
            </w:r>
          </w:p>
        </w:tc>
        <w:tc>
          <w:tcPr>
            <w:tcW w:w="992" w:type="dxa"/>
            <w:vAlign w:val="center"/>
          </w:tcPr>
          <w:p>
            <w:pPr>
              <w:rPr>
                <w:kern w:val="0"/>
                <w:sz w:val="18"/>
                <w:szCs w:val="20"/>
              </w:rPr>
            </w:pPr>
            <w:r>
              <w:rPr>
                <w:rFonts w:hint="eastAsia"/>
                <w:kern w:val="0"/>
                <w:sz w:val="18"/>
                <w:szCs w:val="20"/>
              </w:rPr>
              <w:t>体质测试</w:t>
            </w:r>
          </w:p>
        </w:tc>
        <w:tc>
          <w:tcPr>
            <w:tcW w:w="2410" w:type="dxa"/>
            <w:vAlign w:val="center"/>
          </w:tcPr>
          <w:p>
            <w:pPr>
              <w:rPr>
                <w:kern w:val="0"/>
                <w:sz w:val="18"/>
                <w:szCs w:val="20"/>
              </w:rPr>
            </w:pPr>
            <w:r>
              <w:rPr>
                <w:rFonts w:hint="eastAsia"/>
                <w:kern w:val="0"/>
                <w:sz w:val="18"/>
                <w:szCs w:val="20"/>
              </w:rPr>
              <w:t>1学分</w:t>
            </w:r>
          </w:p>
        </w:tc>
        <w:tc>
          <w:tcPr>
            <w:tcW w:w="3827" w:type="dxa"/>
            <w:vAlign w:val="center"/>
          </w:tcPr>
          <w:p>
            <w:pPr>
              <w:rPr>
                <w:kern w:val="0"/>
                <w:sz w:val="18"/>
                <w:szCs w:val="20"/>
              </w:rPr>
            </w:pPr>
            <w:r>
              <w:rPr>
                <w:rFonts w:hint="eastAsia"/>
                <w:kern w:val="0"/>
                <w:sz w:val="18"/>
                <w:szCs w:val="20"/>
              </w:rPr>
              <w:t>毕业时测试不合格者按结业或肄业处理。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jc w:val="center"/>
              <w:rPr>
                <w:kern w:val="0"/>
                <w:sz w:val="18"/>
                <w:szCs w:val="20"/>
              </w:rPr>
            </w:pPr>
            <w:r>
              <w:rPr>
                <w:rFonts w:hint="eastAsia"/>
                <w:kern w:val="0"/>
                <w:sz w:val="18"/>
                <w:szCs w:val="20"/>
              </w:rPr>
              <w:t>3</w:t>
            </w:r>
          </w:p>
        </w:tc>
        <w:tc>
          <w:tcPr>
            <w:tcW w:w="992" w:type="dxa"/>
            <w:vAlign w:val="center"/>
          </w:tcPr>
          <w:p>
            <w:pPr>
              <w:rPr>
                <w:kern w:val="0"/>
                <w:sz w:val="18"/>
                <w:szCs w:val="20"/>
              </w:rPr>
            </w:pPr>
            <w:r>
              <w:rPr>
                <w:rFonts w:hint="eastAsia"/>
                <w:kern w:val="0"/>
                <w:sz w:val="18"/>
                <w:szCs w:val="20"/>
              </w:rPr>
              <w:t>校运会</w:t>
            </w:r>
          </w:p>
        </w:tc>
        <w:tc>
          <w:tcPr>
            <w:tcW w:w="2410" w:type="dxa"/>
            <w:vAlign w:val="center"/>
          </w:tcPr>
          <w:p>
            <w:pPr>
              <w:rPr>
                <w:kern w:val="0"/>
                <w:sz w:val="18"/>
                <w:szCs w:val="20"/>
              </w:rPr>
            </w:pPr>
            <w:r>
              <w:rPr>
                <w:rFonts w:hint="eastAsia"/>
                <w:kern w:val="0"/>
                <w:sz w:val="18"/>
                <w:szCs w:val="20"/>
              </w:rPr>
              <w:t>12学时*3学年=36学时（三年制）（1学分）</w:t>
            </w:r>
          </w:p>
          <w:p>
            <w:pPr>
              <w:rPr>
                <w:kern w:val="0"/>
                <w:sz w:val="18"/>
                <w:szCs w:val="20"/>
              </w:rPr>
            </w:pPr>
            <w:r>
              <w:rPr>
                <w:rFonts w:hint="eastAsia"/>
                <w:kern w:val="0"/>
                <w:sz w:val="18"/>
                <w:szCs w:val="20"/>
              </w:rPr>
              <w:t>12学时*2学年=24学时（两年制）（1学分）</w:t>
            </w:r>
          </w:p>
        </w:tc>
        <w:tc>
          <w:tcPr>
            <w:tcW w:w="3827" w:type="dxa"/>
            <w:vAlign w:val="center"/>
          </w:tcPr>
          <w:p>
            <w:pPr>
              <w:rPr>
                <w:kern w:val="0"/>
                <w:sz w:val="18"/>
                <w:szCs w:val="20"/>
              </w:rPr>
            </w:pPr>
            <w:r>
              <w:rPr>
                <w:rFonts w:hint="eastAsia"/>
                <w:kern w:val="0"/>
                <w:sz w:val="18"/>
                <w:szCs w:val="20"/>
              </w:rPr>
              <w:t>第1、3、5学期举行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jc w:val="center"/>
              <w:rPr>
                <w:kern w:val="0"/>
                <w:sz w:val="18"/>
                <w:szCs w:val="20"/>
              </w:rPr>
            </w:pPr>
            <w:r>
              <w:rPr>
                <w:rFonts w:hint="eastAsia"/>
                <w:kern w:val="0"/>
                <w:sz w:val="18"/>
                <w:szCs w:val="20"/>
              </w:rPr>
              <w:t>4</w:t>
            </w:r>
          </w:p>
        </w:tc>
        <w:tc>
          <w:tcPr>
            <w:tcW w:w="992" w:type="dxa"/>
            <w:vAlign w:val="center"/>
          </w:tcPr>
          <w:p>
            <w:pPr>
              <w:rPr>
                <w:kern w:val="0"/>
                <w:sz w:val="18"/>
                <w:szCs w:val="20"/>
              </w:rPr>
            </w:pPr>
            <w:r>
              <w:rPr>
                <w:rFonts w:hint="eastAsia"/>
                <w:kern w:val="0"/>
                <w:sz w:val="18"/>
                <w:szCs w:val="20"/>
              </w:rPr>
              <w:t>体育竞赛或文艺表演</w:t>
            </w:r>
          </w:p>
        </w:tc>
        <w:tc>
          <w:tcPr>
            <w:tcW w:w="2410" w:type="dxa"/>
            <w:vAlign w:val="center"/>
          </w:tcPr>
          <w:p>
            <w:pPr>
              <w:rPr>
                <w:kern w:val="0"/>
                <w:sz w:val="18"/>
                <w:szCs w:val="20"/>
              </w:rPr>
            </w:pPr>
          </w:p>
        </w:tc>
        <w:tc>
          <w:tcPr>
            <w:tcW w:w="3827" w:type="dxa"/>
            <w:vAlign w:val="center"/>
          </w:tcPr>
          <w:p>
            <w:pPr>
              <w:rPr>
                <w:kern w:val="0"/>
                <w:sz w:val="18"/>
                <w:szCs w:val="20"/>
              </w:rPr>
            </w:pPr>
            <w:r>
              <w:rPr>
                <w:rFonts w:hint="eastAsia"/>
                <w:kern w:val="0"/>
                <w:sz w:val="18"/>
                <w:szCs w:val="20"/>
              </w:rPr>
              <w:t>获得省级以上三等及以上奖项或名次可以进行学分认定互换，参照相关制度执行。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gridSpan w:val="2"/>
            <w:vAlign w:val="center"/>
          </w:tcPr>
          <w:p>
            <w:pPr>
              <w:rPr>
                <w:kern w:val="0"/>
                <w:sz w:val="18"/>
                <w:szCs w:val="20"/>
              </w:rPr>
            </w:pPr>
            <w:r>
              <w:rPr>
                <w:rFonts w:hint="eastAsia"/>
                <w:kern w:val="0"/>
                <w:sz w:val="18"/>
                <w:szCs w:val="20"/>
              </w:rPr>
              <w:t>合计</w:t>
            </w:r>
          </w:p>
        </w:tc>
        <w:tc>
          <w:tcPr>
            <w:tcW w:w="2410" w:type="dxa"/>
            <w:vAlign w:val="center"/>
          </w:tcPr>
          <w:p>
            <w:pPr>
              <w:rPr>
                <w:kern w:val="0"/>
                <w:sz w:val="18"/>
                <w:szCs w:val="20"/>
              </w:rPr>
            </w:pPr>
            <w:r>
              <w:rPr>
                <w:rFonts w:hint="eastAsia"/>
                <w:kern w:val="0"/>
                <w:sz w:val="18"/>
                <w:szCs w:val="20"/>
              </w:rPr>
              <w:t>108学时（三年制），96学时（两年制），均为5学分</w:t>
            </w:r>
          </w:p>
        </w:tc>
        <w:tc>
          <w:tcPr>
            <w:tcW w:w="3827" w:type="dxa"/>
            <w:vAlign w:val="center"/>
          </w:tcPr>
          <w:p>
            <w:pPr>
              <w:rPr>
                <w:kern w:val="0"/>
                <w:sz w:val="18"/>
                <w:szCs w:val="20"/>
              </w:rPr>
            </w:pPr>
          </w:p>
        </w:tc>
      </w:tr>
    </w:tbl>
    <w:p>
      <w:pPr>
        <w:adjustRightInd w:val="0"/>
        <w:snapToGrid w:val="0"/>
        <w:ind w:firstLine="800" w:firstLineChars="200"/>
        <w:rPr>
          <w:sz w:val="40"/>
        </w:rPr>
      </w:pPr>
    </w:p>
    <w:p>
      <w:pPr>
        <w:pStyle w:val="3"/>
        <w:bidi w:val="0"/>
        <w:rPr>
          <w:rFonts w:hint="eastAsia"/>
          <w:b/>
          <w:lang w:val="en-US" w:eastAsia="zh-CN"/>
        </w:rPr>
      </w:pPr>
      <w:r>
        <w:rPr>
          <w:rFonts w:hint="eastAsia"/>
          <w:b/>
          <w:lang w:val="en-US" w:eastAsia="zh-CN"/>
        </w:rPr>
        <w:t>四、美育课程体系说明</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各专业把《公共艺术》课程和艺术实践类课程纳入学校人才培养方案，构建必修和选修相结合、理论讲授与艺术实践相结合的美育教育课程体系，包括必修（《公共艺术》课程）1学分和公共选修（艺术实践类课程）1学分，纳入教学计划，实行学分制管理，每位学生须修满学校规定学分方能毕业。</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发挥《公共艺术》课程建设在美育教育课程体系中的主渠道作用，培育一批高质量的美育精品课程。</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探索“互联网+美育”的教学模式，充分利用现代化信息技术手段，创新美育教育教学方式，加强基于移动互联网的学习平台建设，通过引进或建设公开课、慕课、微课等在线开放课程的方式，满足学生个性化、多样化学习需求，探索构建网络化、数字化、智能化、线上线下相结合的课程教学模式。</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构建美育“第二课堂”，培养学生健康向上的审美趣味、审美格调、审美理想，引导学生完善人格修养，强化学生的文化主体意识和文化创新意识。《第二课堂活动》作为必修课程列入专业教学计划表，1学分，采用积分制，由团委对学生进行考核评价。</w:t>
      </w:r>
    </w:p>
    <w:p>
      <w:pPr>
        <w:pStyle w:val="3"/>
        <w:bidi w:val="0"/>
        <w:rPr>
          <w:rFonts w:hint="eastAsia"/>
          <w:b/>
          <w:lang w:val="en-US" w:eastAsia="zh-CN"/>
        </w:rPr>
      </w:pPr>
      <w:r>
        <w:rPr>
          <w:rFonts w:hint="eastAsia"/>
          <w:b/>
          <w:lang w:val="en-US" w:eastAsia="zh-CN"/>
        </w:rPr>
        <w:t>五、劳育课程体系说明</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以习近平新时代中国特色社会主义思想为指导，全面贯彻党的教育方针，落实全国教育大会精神，坚持立德树人，坚持培育和践行社会主义核心价值观，把劳动教育纳入人才培养全过程，以课程教育为主要依托，以实践育人为基本途径，与德育、智育、体育、美育相融合，紧密结合经济社会发展变化和学生生活实际，注重教育实效，实现知行合一，促进学生形成正确的世界观、人生观、价值观，促进学生全面发展。开设《劳动教育》必修课，2学分，共计36学时。其中理论教学4节，劳动实践32节，理论课在第二或第三学期开课，劳动实践集中安排或者分散安排。</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通过劳动教育，使学生能够理解和形成马克思主义劳动观，牢固树立劳动最光荣、劳动最崇高、劳动最伟大、劳动最美丽的观念；培养学生热爱劳动、尊重普通劳动者、珍惜劳动成果的情感和勤俭、奋斗、创新、奉献的劳动精神；培养学生具备胜任专业工作的劳动实践能力、较强的创新创业能力以及在劳动实践中发现新问题和创造性解决问题的能力；使学生养成良好的劳动习惯。</w:t>
      </w:r>
    </w:p>
    <w:p>
      <w:pPr>
        <w:pStyle w:val="3"/>
        <w:bidi w:val="0"/>
        <w:rPr>
          <w:rFonts w:hint="eastAsia"/>
          <w:b/>
          <w:lang w:val="en-US" w:eastAsia="zh-CN"/>
        </w:rPr>
      </w:pPr>
      <w:r>
        <w:rPr>
          <w:rFonts w:hint="eastAsia"/>
          <w:b/>
          <w:lang w:val="en-US" w:eastAsia="zh-CN"/>
        </w:rPr>
        <w:t>六、创新创业课程体系说明</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创新创业课程体系中涵盖必修课与选修课两部分，必修课程包括创新创业理论与方法、创新创业实践两门课程，选修课部分指创新创业特色课程模块。</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创新创业特色课程模块包括专业选修模块、人工智能与信息技术模块、创新创业与综合能力模块、复合课程模块。</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专业选修模块对接职业技能大赛、产业学院卓越人才培养方案。</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创新创业与综合能力模块包括创新改变生活、优秀创业案例分析、团队合作能力、解决问题能力、职业沟通能力、信息处理能力、自我管理能力等课程，课程名称可以由二级学院根据专业特色自行制定，每门课程2学分，学生选修时七选一。</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人工智能与信息技术模块包括云计算技术基础、大数据技术基础、物联网技术导论、VR/AR/MR技术导论、</w:t>
      </w:r>
      <w:r>
        <w:rPr>
          <w:rFonts w:cs="Arial"/>
          <w:color w:val="333333"/>
        </w:rPr>
        <w:t>python</w:t>
      </w:r>
      <w:r>
        <w:rPr>
          <w:rFonts w:hint="eastAsia" w:cs="Arial"/>
          <w:color w:val="333333"/>
        </w:rPr>
        <w:t>等课程，课程名称可以由二级学院根据专业特色自行制定，每门课程2学分，学生选修时五选一。</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复合课程模块要求打通文理界限，开设跨大类专业选修课程，每专业至少提供三门课程，每门课程2学分，学生选修时多选一。</w:t>
      </w:r>
    </w:p>
    <w:p>
      <w:pPr>
        <w:pStyle w:val="3"/>
        <w:bidi w:val="0"/>
        <w:rPr>
          <w:rFonts w:hint="eastAsia"/>
          <w:b/>
          <w:lang w:val="en-US" w:eastAsia="zh-CN"/>
        </w:rPr>
      </w:pPr>
      <w:r>
        <w:rPr>
          <w:rFonts w:hint="eastAsia"/>
          <w:b/>
          <w:lang w:val="en-US" w:eastAsia="zh-CN"/>
        </w:rPr>
        <w:t>七、公共选修课程体系</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按照公共选修课程管理办法要求，一门公共选修课为18学时，18学时计1学分，三年制学生毕业必要条件是修满4学分，原则上学生每学期只能选择一门和重修一门，共两门。两年制学生修满2学分。重复选修同一门公共选修课程只计1学分。</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根据上级文件精神，公共选修课程主要分为八大模块，其中美育课程包括艺术实践类课程，如下图所示。</w:t>
      </w:r>
    </w:p>
    <w:p>
      <w:pPr>
        <w:adjustRightInd w:val="0"/>
        <w:snapToGrid w:val="0"/>
        <w:spacing w:line="360" w:lineRule="auto"/>
        <w:ind w:firstLine="560" w:firstLineChars="200"/>
        <w:rPr>
          <w:rFonts w:hint="eastAsia"/>
          <w:b/>
          <w:lang w:val="en-US" w:eastAsia="zh-CN"/>
        </w:rPr>
      </w:pPr>
      <w:r>
        <w:rPr>
          <w:sz w:val="28"/>
        </w:rPr>
        <w:drawing>
          <wp:inline distT="0" distB="0" distL="0" distR="0">
            <wp:extent cx="4182110" cy="2251710"/>
            <wp:effectExtent l="0" t="0" r="889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190930" cy="2256884"/>
                    </a:xfrm>
                    <a:prstGeom prst="rect">
                      <a:avLst/>
                    </a:prstGeom>
                    <a:noFill/>
                  </pic:spPr>
                </pic:pic>
              </a:graphicData>
            </a:graphic>
          </wp:inline>
        </w:drawing>
      </w:r>
    </w:p>
    <w:p>
      <w:pPr>
        <w:pStyle w:val="3"/>
        <w:bidi w:val="0"/>
        <w:rPr>
          <w:rFonts w:hint="eastAsia"/>
          <w:b/>
          <w:lang w:val="en-US" w:eastAsia="zh-CN"/>
        </w:rPr>
      </w:pPr>
      <w:r>
        <w:rPr>
          <w:rFonts w:hint="eastAsia"/>
          <w:b/>
          <w:lang w:val="en-US" w:eastAsia="zh-CN"/>
        </w:rPr>
        <w:t>八、“1+X”证书设置要求</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各专业要重点推进“学历证书+若干职业技能等级证书”制度试点，择优选取若干职业技能等级证书写入人才培养方案，积极引导学生参加“1+X”试点，拓展学生就业创业能力，同时各专业应该根据学生技能考证需要，将证书培训内容有机融入专业人才培养方案，优化课程设置和教学内容，促进课证融通。</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针对一些专业目前没有可考的专业对口职业技能等级证书这一情况，建议可在相关专业大类（跨专业）选取，以满足复合型人才的培养。</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学校现有“1+X”</w:t>
      </w:r>
      <w:r>
        <w:rPr>
          <w:rFonts w:hint="eastAsia"/>
        </w:rPr>
        <w:t xml:space="preserve"> </w:t>
      </w:r>
      <w:r>
        <w:rPr>
          <w:rFonts w:hint="eastAsia" w:cs="Arial"/>
          <w:color w:val="333333"/>
        </w:rPr>
        <w:t>制度试点证书列表如下：</w:t>
      </w:r>
    </w:p>
    <w:tbl>
      <w:tblPr>
        <w:tblStyle w:val="6"/>
        <w:tblpPr w:leftFromText="180" w:rightFromText="180" w:vertAnchor="text" w:horzAnchor="margin" w:tblpXSpec="right" w:tblpY="871"/>
        <w:tblOverlap w:val="never"/>
        <w:tblW w:w="7518" w:type="dxa"/>
        <w:tblInd w:w="0" w:type="dxa"/>
        <w:tblLayout w:type="fixed"/>
        <w:tblCellMar>
          <w:top w:w="0" w:type="dxa"/>
          <w:left w:w="108" w:type="dxa"/>
          <w:bottom w:w="0" w:type="dxa"/>
          <w:right w:w="108" w:type="dxa"/>
        </w:tblCellMar>
      </w:tblPr>
      <w:tblGrid>
        <w:gridCol w:w="1194"/>
        <w:gridCol w:w="5115"/>
        <w:gridCol w:w="1209"/>
      </w:tblGrid>
      <w:tr>
        <w:tblPrEx>
          <w:tblCellMar>
            <w:top w:w="0" w:type="dxa"/>
            <w:left w:w="108" w:type="dxa"/>
            <w:bottom w:w="0" w:type="dxa"/>
            <w:right w:w="108" w:type="dxa"/>
          </w:tblCellMar>
        </w:tblPrEx>
        <w:trPr>
          <w:trHeight w:val="322" w:hRule="atLeast"/>
        </w:trPr>
        <w:tc>
          <w:tcPr>
            <w:tcW w:w="11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b/>
                <w:color w:val="000000"/>
                <w:kern w:val="0"/>
                <w:sz w:val="28"/>
              </w:rPr>
            </w:pPr>
            <w:r>
              <w:rPr>
                <w:rFonts w:hint="eastAsia" w:ascii="宋体" w:hAnsi="宋体" w:eastAsia="宋体" w:cs="宋体"/>
                <w:b/>
                <w:color w:val="000000"/>
                <w:kern w:val="0"/>
                <w:sz w:val="28"/>
              </w:rPr>
              <w:t>序号</w:t>
            </w:r>
          </w:p>
        </w:tc>
        <w:tc>
          <w:tcPr>
            <w:tcW w:w="5115"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eastAsia="宋体" w:cs="宋体"/>
                <w:b/>
                <w:color w:val="000000"/>
                <w:kern w:val="0"/>
                <w:sz w:val="28"/>
              </w:rPr>
            </w:pPr>
            <w:r>
              <w:rPr>
                <w:rFonts w:hint="eastAsia" w:ascii="宋体" w:hAnsi="宋体" w:eastAsia="宋体" w:cs="宋体"/>
                <w:b/>
                <w:color w:val="000000"/>
                <w:kern w:val="0"/>
                <w:sz w:val="28"/>
              </w:rPr>
              <w:t>证书</w:t>
            </w:r>
          </w:p>
        </w:tc>
        <w:tc>
          <w:tcPr>
            <w:tcW w:w="1209"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eastAsia="宋体" w:cs="宋体"/>
                <w:b/>
                <w:color w:val="000000"/>
                <w:kern w:val="0"/>
                <w:sz w:val="28"/>
              </w:rPr>
            </w:pPr>
            <w:r>
              <w:rPr>
                <w:rFonts w:hint="eastAsia" w:ascii="宋体" w:hAnsi="宋体" w:eastAsia="宋体" w:cs="宋体"/>
                <w:b/>
                <w:color w:val="000000"/>
                <w:kern w:val="0"/>
                <w:sz w:val="28"/>
              </w:rPr>
              <w:t>轮次</w:t>
            </w:r>
          </w:p>
        </w:tc>
      </w:tr>
      <w:tr>
        <w:tblPrEx>
          <w:tblCellMar>
            <w:top w:w="0" w:type="dxa"/>
            <w:left w:w="108" w:type="dxa"/>
            <w:bottom w:w="0" w:type="dxa"/>
            <w:right w:w="108" w:type="dxa"/>
          </w:tblCellMar>
        </w:tblPrEx>
        <w:trPr>
          <w:trHeight w:val="351"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智能财税职业技能等级证书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2</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网店运营推广职业技能等级证书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374"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3</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电子商务数据分析职业技能等级证书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2</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4</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工业机器人应用编程职业技能等级证书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2</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5</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工业机器人操作与运维职业技能等级证书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2</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6</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传感网应用开发职业技能等级证书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7</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人身保险理赔职业技能等级证书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8</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数字创意建模职业技能等级证书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9</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虚拟现实应用开发职业技能等级证书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312"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10</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智能网联汽车测试装调职业技能等级证书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11</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工业互联网实施与运维职业技能等级证书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12</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跨境电商B2B数据运营职业技能等级证书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325"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13</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财务共享服务职业技能等级证书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14</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业财一体信息化应用职业技能等级证书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34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15</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建筑工程识图职业技能等级证书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86"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16</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网络安全评估职业技能等级证书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370"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17</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大数据应用开发（Java）职业技能等级证书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18</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冶金机电设备点检职业技能等级证书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19</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数控车铣加工职业技能等级证书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20</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多轴数控加工职业技能等级证书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21</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5G基站建设与维护职业技能等级证书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22</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网络系统建设与运维职业技能等级证书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23</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数字化管理会计职业技能等级证书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24</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建筑信息模型（BIM）职业技能等级证书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3</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25</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Web前端开发职业技能等级证书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1</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26</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智能新能源汽车职业技能等级证书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1</w:t>
            </w:r>
          </w:p>
        </w:tc>
      </w:tr>
      <w:tr>
        <w:tblPrEx>
          <w:tblCellMar>
            <w:top w:w="0" w:type="dxa"/>
            <w:left w:w="108" w:type="dxa"/>
            <w:bottom w:w="0" w:type="dxa"/>
            <w:right w:w="108" w:type="dxa"/>
          </w:tblCellMar>
        </w:tblPrEx>
        <w:trPr>
          <w:trHeight w:val="278"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27</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汽车运用与维修职业技能等级证书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1</w:t>
            </w:r>
          </w:p>
        </w:tc>
      </w:tr>
      <w:tr>
        <w:tblPrEx>
          <w:tblCellMar>
            <w:top w:w="0" w:type="dxa"/>
            <w:left w:w="108" w:type="dxa"/>
            <w:bottom w:w="0" w:type="dxa"/>
            <w:right w:w="108" w:type="dxa"/>
          </w:tblCellMar>
        </w:tblPrEx>
        <w:trPr>
          <w:trHeight w:val="287" w:hRule="atLeast"/>
        </w:trPr>
        <w:tc>
          <w:tcPr>
            <w:tcW w:w="1194" w:type="dxa"/>
            <w:tcBorders>
              <w:top w:val="nil"/>
              <w:left w:val="single" w:color="auto" w:sz="4" w:space="0"/>
              <w:bottom w:val="single" w:color="auto" w:sz="4" w:space="0"/>
              <w:right w:val="single" w:color="auto" w:sz="4" w:space="0"/>
            </w:tcBorders>
            <w:shd w:val="clear" w:color="auto" w:fill="auto"/>
            <w:noWrap/>
            <w:vAlign w:val="center"/>
          </w:tcPr>
          <w:p>
            <w:pPr>
              <w:jc w:val="center"/>
              <w:rPr>
                <w:sz w:val="24"/>
              </w:rPr>
            </w:pPr>
            <w:r>
              <w:rPr>
                <w:rFonts w:hint="eastAsia"/>
                <w:sz w:val="24"/>
              </w:rPr>
              <w:t>28</w:t>
            </w:r>
          </w:p>
        </w:tc>
        <w:tc>
          <w:tcPr>
            <w:tcW w:w="5115" w:type="dxa"/>
            <w:tcBorders>
              <w:top w:val="nil"/>
              <w:left w:val="nil"/>
              <w:bottom w:val="single" w:color="auto" w:sz="4" w:space="0"/>
              <w:right w:val="single" w:color="auto" w:sz="4" w:space="0"/>
            </w:tcBorders>
            <w:shd w:val="clear" w:color="auto" w:fill="auto"/>
            <w:vAlign w:val="center"/>
          </w:tcPr>
          <w:p>
            <w:pPr>
              <w:jc w:val="left"/>
              <w:rPr>
                <w:sz w:val="24"/>
              </w:rPr>
            </w:pPr>
            <w:r>
              <w:rPr>
                <w:rFonts w:hint="eastAsia"/>
                <w:sz w:val="24"/>
              </w:rPr>
              <w:t>物流管理职业技能等级证书</w:t>
            </w:r>
          </w:p>
        </w:tc>
        <w:tc>
          <w:tcPr>
            <w:tcW w:w="1209" w:type="dxa"/>
            <w:tcBorders>
              <w:top w:val="nil"/>
              <w:left w:val="nil"/>
              <w:bottom w:val="single" w:color="auto" w:sz="4" w:space="0"/>
              <w:right w:val="single" w:color="auto" w:sz="4" w:space="0"/>
            </w:tcBorders>
            <w:shd w:val="clear" w:color="auto" w:fill="auto"/>
            <w:vAlign w:val="center"/>
          </w:tcPr>
          <w:p>
            <w:pPr>
              <w:jc w:val="center"/>
              <w:rPr>
                <w:sz w:val="24"/>
              </w:rPr>
            </w:pPr>
            <w:r>
              <w:rPr>
                <w:rFonts w:hint="eastAsia"/>
                <w:sz w:val="24"/>
              </w:rPr>
              <w:t>1</w:t>
            </w:r>
          </w:p>
        </w:tc>
      </w:tr>
    </w:tbl>
    <w:p>
      <w:pPr>
        <w:widowControl/>
        <w:jc w:val="left"/>
        <w:rPr>
          <w:rFonts w:asciiTheme="majorEastAsia" w:hAnsiTheme="majorEastAsia" w:eastAsiaTheme="majorEastAsia"/>
        </w:rPr>
      </w:pPr>
      <w:r>
        <w:rPr>
          <w:rFonts w:asciiTheme="majorEastAsia" w:hAnsiTheme="majorEastAsia" w:eastAsiaTheme="majorEastAsia"/>
        </w:rPr>
        <w:br w:type="page"/>
      </w:r>
    </w:p>
    <w:p>
      <w:pPr>
        <w:adjustRightInd w:val="0"/>
        <w:snapToGrid w:val="0"/>
        <w:spacing w:line="360" w:lineRule="auto"/>
        <w:rPr>
          <w:rFonts w:asciiTheme="majorEastAsia" w:hAnsiTheme="majorEastAsia" w:eastAsiaTheme="majorEastAsia"/>
        </w:rPr>
      </w:pPr>
    </w:p>
    <w:p>
      <w:pPr>
        <w:pStyle w:val="3"/>
        <w:bidi w:val="0"/>
        <w:rPr>
          <w:rFonts w:hint="eastAsia"/>
          <w:b/>
          <w:lang w:val="en-US" w:eastAsia="zh-CN"/>
        </w:rPr>
      </w:pPr>
      <w:r>
        <w:rPr>
          <w:rFonts w:hint="eastAsia"/>
          <w:b/>
          <w:lang w:val="en-US" w:eastAsia="zh-CN"/>
        </w:rPr>
        <w:t>九、其他说明</w:t>
      </w:r>
    </w:p>
    <w:p>
      <w:pPr>
        <w:pStyle w:val="5"/>
        <w:shd w:val="clear" w:color="auto" w:fill="FFFFFF"/>
        <w:spacing w:before="0" w:beforeAutospacing="0" w:after="0" w:afterAutospacing="0" w:line="420" w:lineRule="atLeast"/>
        <w:ind w:firstLine="480"/>
        <w:textAlignment w:val="baseline"/>
        <w:rPr>
          <w:rFonts w:cs="Arial"/>
          <w:color w:val="333333"/>
        </w:rPr>
      </w:pPr>
      <w:r>
        <w:rPr>
          <w:rFonts w:cs="Arial"/>
          <w:color w:val="333333"/>
        </w:rPr>
        <w:t>1.</w:t>
      </w:r>
      <w:r>
        <w:rPr>
          <w:rFonts w:hint="eastAsia" w:cs="Arial"/>
          <w:color w:val="333333"/>
        </w:rPr>
        <w:t>所有专业（包括新增专业、中高贯通三二分段试点专业、高本协同育人试点专业、现代学徒制试点专业、高职专业学院等高职扩招专业 ）需按照分类培养模式分别制（修）订2021级人才培养方案，已确定暂停招生的专业（含专业方向、培养模式）不需要编制人才培养方案。</w:t>
      </w:r>
    </w:p>
    <w:p>
      <w:pPr>
        <w:pStyle w:val="5"/>
        <w:shd w:val="clear" w:color="auto" w:fill="FFFFFF"/>
        <w:spacing w:before="0" w:beforeAutospacing="0" w:after="0" w:afterAutospacing="0" w:line="420" w:lineRule="atLeast"/>
        <w:ind w:firstLine="480"/>
        <w:textAlignment w:val="baseline"/>
        <w:rPr>
          <w:rFonts w:cs="Arial"/>
          <w:color w:val="333333"/>
        </w:rPr>
      </w:pPr>
      <w:r>
        <w:rPr>
          <w:rFonts w:cs="Arial"/>
          <w:color w:val="333333"/>
        </w:rPr>
        <w:t>2.</w:t>
      </w:r>
      <w:r>
        <w:rPr>
          <w:rFonts w:hint="eastAsia" w:cs="Arial"/>
          <w:color w:val="333333"/>
        </w:rPr>
        <w:t>每个专业均属于某个专业群，专业技术平台课程为专业群基础课程，三年制为6-10门，两年制为4-6门。专业群平台课之外的专业基础课全部调整为专业技术方向课程或创新创业特色课程，其课程属性为选修课，进一步扩大选修课程设置比例。</w:t>
      </w:r>
    </w:p>
    <w:p>
      <w:pPr>
        <w:pStyle w:val="5"/>
        <w:shd w:val="clear" w:color="auto" w:fill="FFFFFF"/>
        <w:spacing w:before="0" w:beforeAutospacing="0" w:after="0" w:afterAutospacing="0" w:line="420" w:lineRule="atLeast"/>
        <w:ind w:firstLine="480"/>
        <w:textAlignment w:val="baseline"/>
        <w:rPr>
          <w:rFonts w:cs="Arial"/>
          <w:color w:val="333333"/>
        </w:rPr>
      </w:pPr>
      <w:r>
        <w:rPr>
          <w:rFonts w:cs="Arial"/>
          <w:color w:val="333333"/>
        </w:rPr>
        <w:t>3.</w:t>
      </w:r>
      <w:r>
        <w:rPr>
          <w:rFonts w:hint="eastAsia" w:cs="Arial"/>
          <w:color w:val="333333"/>
        </w:rPr>
        <w:t>专业技术方向课程可设置若干个模块，三年制每个模块6-8门课程（两年制4-6门课程），模块与模块之间至少一门课程不同，对于某一个学生只能选修其中一个模块。</w:t>
      </w:r>
    </w:p>
    <w:p>
      <w:pPr>
        <w:pStyle w:val="5"/>
        <w:shd w:val="clear" w:color="auto" w:fill="FFFFFF"/>
        <w:spacing w:before="0" w:beforeAutospacing="0" w:after="0" w:afterAutospacing="0" w:line="420" w:lineRule="atLeast"/>
        <w:ind w:firstLine="480"/>
        <w:textAlignment w:val="baseline"/>
        <w:rPr>
          <w:rFonts w:cs="Arial"/>
          <w:color w:val="333333"/>
        </w:rPr>
      </w:pPr>
      <w:r>
        <w:rPr>
          <w:rFonts w:cs="Arial"/>
          <w:color w:val="333333"/>
        </w:rPr>
        <w:t>4.</w:t>
      </w:r>
      <w:r>
        <w:rPr>
          <w:rFonts w:hint="eastAsia" w:cs="Arial"/>
          <w:color w:val="333333"/>
        </w:rPr>
        <w:t>毕业综合实训和生产(顶岗)实习由原来的13学分调整为15学分。</w:t>
      </w:r>
    </w:p>
    <w:p>
      <w:pPr>
        <w:pStyle w:val="5"/>
        <w:shd w:val="clear" w:color="auto" w:fill="FFFFFF"/>
        <w:spacing w:before="0" w:beforeAutospacing="0" w:after="0" w:afterAutospacing="0" w:line="420" w:lineRule="atLeast"/>
        <w:ind w:firstLine="480"/>
        <w:textAlignment w:val="baseline"/>
        <w:rPr>
          <w:rFonts w:asciiTheme="majorEastAsia" w:hAnsiTheme="majorEastAsia" w:eastAsiaTheme="majorEastAsia"/>
        </w:rPr>
      </w:pPr>
      <w:r>
        <w:rPr>
          <w:rFonts w:cs="Arial"/>
          <w:color w:val="333333"/>
        </w:rPr>
        <w:t>5.</w:t>
      </w:r>
      <w:r>
        <w:rPr>
          <w:rFonts w:hint="eastAsia" w:cs="Arial"/>
          <w:color w:val="333333"/>
        </w:rPr>
        <w:t>每学期教学周次为20周，具体安排如下。</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417"/>
        <w:gridCol w:w="1418"/>
        <w:gridCol w:w="1134"/>
        <w:gridCol w:w="1134"/>
        <w:gridCol w:w="1057"/>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959" w:type="dxa"/>
          </w:tcPr>
          <w:p>
            <w:pPr>
              <w:rPr>
                <w:b/>
                <w:kern w:val="0"/>
                <w:sz w:val="18"/>
                <w:szCs w:val="18"/>
              </w:rPr>
            </w:pPr>
            <w:r>
              <w:rPr>
                <w:rFonts w:hint="eastAsia"/>
                <w:b/>
                <w:kern w:val="0"/>
                <w:sz w:val="18"/>
                <w:szCs w:val="18"/>
              </w:rPr>
              <w:t>学制</w:t>
            </w:r>
          </w:p>
        </w:tc>
        <w:tc>
          <w:tcPr>
            <w:tcW w:w="1417" w:type="dxa"/>
          </w:tcPr>
          <w:p>
            <w:pPr>
              <w:rPr>
                <w:b/>
                <w:kern w:val="0"/>
                <w:sz w:val="18"/>
                <w:szCs w:val="18"/>
              </w:rPr>
            </w:pPr>
            <w:r>
              <w:rPr>
                <w:rFonts w:hint="eastAsia"/>
                <w:b/>
                <w:kern w:val="0"/>
                <w:sz w:val="18"/>
                <w:szCs w:val="18"/>
              </w:rPr>
              <w:t>第一学期</w:t>
            </w:r>
          </w:p>
        </w:tc>
        <w:tc>
          <w:tcPr>
            <w:tcW w:w="1418" w:type="dxa"/>
          </w:tcPr>
          <w:p>
            <w:pPr>
              <w:rPr>
                <w:b/>
                <w:kern w:val="0"/>
                <w:sz w:val="18"/>
                <w:szCs w:val="18"/>
              </w:rPr>
            </w:pPr>
            <w:r>
              <w:rPr>
                <w:rFonts w:hint="eastAsia"/>
                <w:b/>
                <w:kern w:val="0"/>
                <w:sz w:val="18"/>
                <w:szCs w:val="18"/>
              </w:rPr>
              <w:t>第二学期</w:t>
            </w:r>
          </w:p>
        </w:tc>
        <w:tc>
          <w:tcPr>
            <w:tcW w:w="1134" w:type="dxa"/>
          </w:tcPr>
          <w:p>
            <w:pPr>
              <w:rPr>
                <w:b/>
                <w:kern w:val="0"/>
                <w:sz w:val="18"/>
                <w:szCs w:val="18"/>
              </w:rPr>
            </w:pPr>
            <w:r>
              <w:rPr>
                <w:rFonts w:hint="eastAsia"/>
                <w:b/>
                <w:kern w:val="0"/>
                <w:sz w:val="18"/>
                <w:szCs w:val="18"/>
              </w:rPr>
              <w:t>第三学期</w:t>
            </w:r>
          </w:p>
        </w:tc>
        <w:tc>
          <w:tcPr>
            <w:tcW w:w="1134" w:type="dxa"/>
          </w:tcPr>
          <w:p>
            <w:pPr>
              <w:rPr>
                <w:b/>
                <w:kern w:val="0"/>
                <w:sz w:val="18"/>
                <w:szCs w:val="18"/>
              </w:rPr>
            </w:pPr>
            <w:r>
              <w:rPr>
                <w:rFonts w:hint="eastAsia"/>
                <w:b/>
                <w:kern w:val="0"/>
                <w:sz w:val="18"/>
                <w:szCs w:val="18"/>
              </w:rPr>
              <w:t>第四学期</w:t>
            </w:r>
          </w:p>
        </w:tc>
        <w:tc>
          <w:tcPr>
            <w:tcW w:w="1057" w:type="dxa"/>
          </w:tcPr>
          <w:p>
            <w:pPr>
              <w:rPr>
                <w:b/>
                <w:kern w:val="0"/>
                <w:sz w:val="18"/>
                <w:szCs w:val="18"/>
              </w:rPr>
            </w:pPr>
            <w:r>
              <w:rPr>
                <w:rFonts w:hint="eastAsia"/>
                <w:b/>
                <w:kern w:val="0"/>
                <w:sz w:val="18"/>
                <w:szCs w:val="18"/>
              </w:rPr>
              <w:t>第五学期</w:t>
            </w:r>
          </w:p>
        </w:tc>
        <w:tc>
          <w:tcPr>
            <w:tcW w:w="1403" w:type="dxa"/>
          </w:tcPr>
          <w:p>
            <w:pPr>
              <w:rPr>
                <w:b/>
                <w:kern w:val="0"/>
                <w:sz w:val="18"/>
                <w:szCs w:val="18"/>
              </w:rPr>
            </w:pPr>
            <w:r>
              <w:rPr>
                <w:rFonts w:hint="eastAsia"/>
                <w:b/>
                <w:kern w:val="0"/>
                <w:sz w:val="18"/>
                <w:szCs w:val="18"/>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rPr>
                <w:kern w:val="0"/>
                <w:sz w:val="13"/>
                <w:szCs w:val="20"/>
              </w:rPr>
            </w:pPr>
            <w:r>
              <w:rPr>
                <w:rFonts w:hint="eastAsia"/>
                <w:kern w:val="0"/>
                <w:sz w:val="13"/>
                <w:szCs w:val="20"/>
              </w:rPr>
              <w:t>三年制</w:t>
            </w:r>
          </w:p>
        </w:tc>
        <w:tc>
          <w:tcPr>
            <w:tcW w:w="1417" w:type="dxa"/>
          </w:tcPr>
          <w:p>
            <w:pPr>
              <w:rPr>
                <w:kern w:val="0"/>
                <w:sz w:val="13"/>
                <w:szCs w:val="20"/>
              </w:rPr>
            </w:pPr>
            <w:r>
              <w:rPr>
                <w:rFonts w:hint="eastAsia"/>
                <w:kern w:val="0"/>
                <w:sz w:val="13"/>
                <w:szCs w:val="20"/>
                <w:highlight w:val="yellow"/>
              </w:rPr>
              <w:t>20周（含机动1周、入学教育1周、军训2周、考试2周）</w:t>
            </w:r>
          </w:p>
        </w:tc>
        <w:tc>
          <w:tcPr>
            <w:tcW w:w="1418"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（含2周考试）</w:t>
            </w:r>
          </w:p>
        </w:tc>
        <w:tc>
          <w:tcPr>
            <w:tcW w:w="1134"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（含2周考试）</w:t>
            </w:r>
          </w:p>
        </w:tc>
        <w:tc>
          <w:tcPr>
            <w:tcW w:w="1134"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（含2周考试）</w:t>
            </w:r>
          </w:p>
        </w:tc>
        <w:tc>
          <w:tcPr>
            <w:tcW w:w="1057"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（含2周考试）</w:t>
            </w:r>
          </w:p>
        </w:tc>
        <w:tc>
          <w:tcPr>
            <w:tcW w:w="1403"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（含毕业教育1周，机动2周）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rPr>
                <w:kern w:val="0"/>
                <w:sz w:val="13"/>
                <w:szCs w:val="20"/>
              </w:rPr>
            </w:pPr>
            <w:r>
              <w:rPr>
                <w:rFonts w:hint="eastAsia"/>
                <w:kern w:val="0"/>
                <w:sz w:val="13"/>
                <w:szCs w:val="20"/>
              </w:rPr>
              <w:t>两年制</w:t>
            </w:r>
          </w:p>
        </w:tc>
        <w:tc>
          <w:tcPr>
            <w:tcW w:w="1417" w:type="dxa"/>
          </w:tcPr>
          <w:p>
            <w:pPr>
              <w:rPr>
                <w:kern w:val="0"/>
                <w:sz w:val="13"/>
                <w:szCs w:val="20"/>
                <w:highlight w:val="yellow"/>
              </w:rPr>
            </w:pPr>
            <w:r>
              <w:rPr>
                <w:rFonts w:hint="eastAsia"/>
                <w:kern w:val="0"/>
                <w:sz w:val="13"/>
                <w:szCs w:val="20"/>
                <w:highlight w:val="yellow"/>
              </w:rPr>
              <w:t>20周（含机动1周、入学教育1周、军训2周、考试2周）</w:t>
            </w:r>
          </w:p>
        </w:tc>
        <w:tc>
          <w:tcPr>
            <w:tcW w:w="1418"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（含2周考试）</w:t>
            </w:r>
          </w:p>
        </w:tc>
        <w:tc>
          <w:tcPr>
            <w:tcW w:w="1134"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（含2周考试）</w:t>
            </w:r>
          </w:p>
        </w:tc>
        <w:tc>
          <w:tcPr>
            <w:tcW w:w="1134" w:type="dxa"/>
          </w:tcPr>
          <w:p>
            <w:pPr>
              <w:rPr>
                <w:kern w:val="0"/>
                <w:sz w:val="13"/>
                <w:szCs w:val="20"/>
              </w:rPr>
            </w:pPr>
            <w:r>
              <w:rPr>
                <w:rFonts w:hint="eastAsia"/>
                <w:kern w:val="0"/>
                <w:sz w:val="13"/>
                <w:szCs w:val="20"/>
              </w:rPr>
              <w:t>20周</w:t>
            </w:r>
          </w:p>
          <w:p>
            <w:pPr>
              <w:rPr>
                <w:kern w:val="0"/>
                <w:sz w:val="13"/>
                <w:szCs w:val="20"/>
              </w:rPr>
            </w:pPr>
            <w:r>
              <w:rPr>
                <w:rFonts w:hint="eastAsia"/>
                <w:kern w:val="0"/>
                <w:sz w:val="13"/>
                <w:szCs w:val="20"/>
              </w:rPr>
              <w:t>（含毕业教育1周，机动3周）</w:t>
            </w:r>
          </w:p>
        </w:tc>
        <w:tc>
          <w:tcPr>
            <w:tcW w:w="1057" w:type="dxa"/>
          </w:tcPr>
          <w:p>
            <w:pPr>
              <w:rPr>
                <w:kern w:val="0"/>
                <w:sz w:val="13"/>
                <w:szCs w:val="20"/>
              </w:rPr>
            </w:pPr>
          </w:p>
        </w:tc>
        <w:tc>
          <w:tcPr>
            <w:tcW w:w="1403" w:type="dxa"/>
          </w:tcPr>
          <w:p>
            <w:pPr>
              <w:rPr>
                <w:kern w:val="0"/>
                <w:sz w:val="13"/>
                <w:szCs w:val="20"/>
              </w:rPr>
            </w:pPr>
          </w:p>
        </w:tc>
      </w:tr>
    </w:tbl>
    <w:p>
      <w:pPr>
        <w:pStyle w:val="5"/>
        <w:shd w:val="clear" w:color="auto" w:fill="FFFFFF"/>
        <w:spacing w:before="0" w:beforeAutospacing="0" w:after="0" w:afterAutospacing="0" w:line="420" w:lineRule="atLeast"/>
        <w:ind w:firstLine="480"/>
        <w:textAlignment w:val="baseline"/>
        <w:rPr>
          <w:rFonts w:cs="Arial"/>
          <w:color w:val="333333"/>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C271A2"/>
    <w:rsid w:val="2BC271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3">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2020-11-04T07:28:00Z</dcterms:created>
  <dc:creator>X Y Z</dc:creator>
  <cp:lastModifiedBy>X Y Z</cp:lastModifiedBy>
  <dcterms:modified xsi:type="dcterms:W3CDTF">2020-11-04T07:35:10Z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