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r>
        <w:rPr>
          <w:rFonts w:ascii="宋体" w:hAnsi="宋体" w:eastAsia="宋体" w:cs="宋体"/>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p>
    <w:p>
      <w:pPr>
        <w:jc w:val="center"/>
        <w:rPr>
          <w:rFonts w:ascii="宋体" w:hAnsi="宋体" w:eastAsia="宋体" w:cs="宋体"/>
          <w:sz w:val="24"/>
          <w:szCs w:val="20"/>
        </w:rPr>
      </w:pPr>
      <w:r>
        <w:rPr>
          <w:rFonts w:hint="eastAsia" w:ascii="宋体" w:hAnsi="宋体"/>
          <w:sz w:val="48"/>
          <w:szCs w:val="48"/>
        </w:rPr>
        <w:t>机电工程</w:t>
      </w:r>
      <w:r>
        <w:rPr>
          <w:rFonts w:hint="eastAsia" w:ascii="宋体" w:hAnsi="宋体" w:eastAsia="宋体" w:cs="宋体"/>
          <w:sz w:val="48"/>
          <w:szCs w:val="48"/>
        </w:rPr>
        <w:t>学院</w:t>
      </w:r>
    </w:p>
    <w:p>
      <w:pPr>
        <w:rPr>
          <w:rFonts w:ascii="宋体" w:hAnsi="宋体" w:eastAsia="宋体" w:cs="宋体"/>
          <w:sz w:val="24"/>
          <w:szCs w:val="20"/>
        </w:rPr>
      </w:pPr>
    </w:p>
    <w:p>
      <w:pPr>
        <w:spacing w:line="480" w:lineRule="auto"/>
        <w:jc w:val="center"/>
        <w:rPr>
          <w:rFonts w:ascii="宋体" w:hAnsi="宋体" w:eastAsia="宋体" w:cs="宋体"/>
          <w:sz w:val="48"/>
          <w:szCs w:val="48"/>
        </w:rPr>
      </w:pPr>
      <w:bookmarkStart w:id="0" w:name="_Toc241725850"/>
      <w:r>
        <w:rPr>
          <w:rFonts w:hint="eastAsia" w:ascii="宋体" w:hAnsi="宋体"/>
          <w:sz w:val="48"/>
          <w:szCs w:val="48"/>
        </w:rPr>
        <w:t>机电一体化技术</w:t>
      </w:r>
      <w:r>
        <w:rPr>
          <w:rFonts w:hint="eastAsia" w:ascii="宋体" w:hAnsi="宋体" w:eastAsia="宋体" w:cs="宋体"/>
          <w:sz w:val="48"/>
          <w:szCs w:val="48"/>
        </w:rPr>
        <w:t>专业</w:t>
      </w:r>
    </w:p>
    <w:p>
      <w:pPr>
        <w:spacing w:before="156" w:beforeLines="50" w:after="156" w:afterLines="50" w:line="480" w:lineRule="auto"/>
        <w:jc w:val="center"/>
        <w:rPr>
          <w:rFonts w:ascii="宋体" w:hAnsi="宋体" w:eastAsia="宋体" w:cs="宋体"/>
          <w:sz w:val="44"/>
          <w:szCs w:val="44"/>
        </w:rPr>
      </w:pPr>
    </w:p>
    <w:p>
      <w:pPr>
        <w:spacing w:line="1200" w:lineRule="auto"/>
        <w:jc w:val="center"/>
        <w:rPr>
          <w:rFonts w:ascii="宋体" w:hAnsi="宋体" w:eastAsia="宋体" w:cs="宋体"/>
          <w:b/>
          <w:spacing w:val="30"/>
          <w:sz w:val="72"/>
          <w:szCs w:val="72"/>
        </w:rPr>
      </w:pPr>
      <w:r>
        <w:rPr>
          <w:rFonts w:hint="eastAsia" w:ascii="宋体" w:hAnsi="宋体" w:eastAsia="宋体" w:cs="宋体"/>
          <w:b/>
          <w:spacing w:val="30"/>
          <w:sz w:val="72"/>
          <w:szCs w:val="72"/>
        </w:rPr>
        <w:t>人才培养方案</w:t>
      </w:r>
    </w:p>
    <w:p>
      <w:pPr>
        <w:spacing w:line="480" w:lineRule="auto"/>
        <w:jc w:val="center"/>
        <w:rPr>
          <w:rFonts w:ascii="宋体" w:hAnsi="宋体" w:eastAsia="宋体" w:cs="宋体"/>
          <w:b/>
          <w:sz w:val="48"/>
          <w:szCs w:val="48"/>
        </w:rPr>
      </w:pPr>
      <w:r>
        <w:rPr>
          <w:rFonts w:hint="eastAsia" w:ascii="宋体" w:hAnsi="宋体" w:eastAsia="宋体" w:cs="宋体"/>
          <w:b/>
          <w:sz w:val="48"/>
          <w:szCs w:val="48"/>
        </w:rPr>
        <w:t>（2022级普通高中）</w:t>
      </w: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sz w:val="44"/>
          <w:szCs w:val="44"/>
        </w:rPr>
      </w:pPr>
    </w:p>
    <w:p>
      <w:pPr>
        <w:spacing w:line="480" w:lineRule="auto"/>
        <w:rPr>
          <w:rFonts w:ascii="宋体" w:hAnsi="宋体" w:eastAsia="宋体" w:cs="宋体"/>
          <w:sz w:val="44"/>
          <w:szCs w:val="44"/>
        </w:rPr>
      </w:pPr>
    </w:p>
    <w:p>
      <w:pPr>
        <w:spacing w:line="480" w:lineRule="auto"/>
        <w:jc w:val="center"/>
        <w:rPr>
          <w:rFonts w:ascii="宋体" w:hAnsi="宋体" w:eastAsia="宋体" w:cs="宋体"/>
          <w:spacing w:val="40"/>
          <w:sz w:val="32"/>
          <w:szCs w:val="32"/>
        </w:rPr>
      </w:pPr>
      <w:r>
        <w:rPr>
          <w:rFonts w:hint="eastAsia" w:ascii="宋体" w:hAnsi="宋体" w:eastAsia="宋体" w:cs="宋体"/>
          <w:spacing w:val="40"/>
          <w:sz w:val="32"/>
          <w:szCs w:val="32"/>
        </w:rPr>
        <w:t>广东工贸职业技术学院</w:t>
      </w:r>
    </w:p>
    <w:p>
      <w:pPr>
        <w:jc w:val="center"/>
        <w:rPr>
          <w:rFonts w:ascii="宋体" w:hAnsi="宋体" w:eastAsia="宋体" w:cs="宋体"/>
          <w:spacing w:val="40"/>
          <w:sz w:val="32"/>
          <w:szCs w:val="32"/>
        </w:rPr>
      </w:pPr>
      <w:r>
        <w:rPr>
          <w:rFonts w:hint="eastAsia" w:ascii="宋体" w:hAnsi="宋体" w:eastAsia="宋体" w:cs="宋体"/>
          <w:spacing w:val="40"/>
          <w:sz w:val="32"/>
          <w:szCs w:val="32"/>
        </w:rPr>
        <w:t>二○二二年三月</w:t>
      </w:r>
    </w:p>
    <w:p>
      <w:pPr>
        <w:jc w:val="center"/>
        <w:rPr>
          <w:rFonts w:ascii="宋体" w:hAnsi="宋体" w:eastAsia="宋体" w:cs="宋体"/>
          <w:spacing w:val="40"/>
          <w:sz w:val="32"/>
          <w:szCs w:val="32"/>
        </w:rPr>
      </w:pPr>
    </w:p>
    <w:p>
      <w:pPr>
        <w:widowControl/>
        <w:jc w:val="left"/>
        <w:rPr>
          <w:rFonts w:ascii="黑体" w:hAnsi="黑体" w:eastAsia="黑体" w:cs="宋体"/>
          <w:kern w:val="0"/>
          <w:sz w:val="30"/>
          <w:szCs w:val="30"/>
        </w:rPr>
      </w:pPr>
      <w:r>
        <w:rPr>
          <w:rFonts w:ascii="黑体" w:hAnsi="黑体" w:eastAsia="黑体" w:cs="宋体"/>
          <w:kern w:val="0"/>
          <w:sz w:val="30"/>
          <w:szCs w:val="30"/>
        </w:rPr>
        <w:br w:type="page"/>
      </w:r>
    </w:p>
    <w:p>
      <w:pPr>
        <w:jc w:val="center"/>
        <w:rPr>
          <w:rFonts w:ascii="黑体" w:hAnsi="黑体" w:eastAsia="黑体" w:cs="宋体"/>
          <w:kern w:val="0"/>
          <w:sz w:val="30"/>
          <w:szCs w:val="30"/>
        </w:rPr>
      </w:pPr>
      <w:r>
        <w:rPr>
          <w:rFonts w:hint="eastAsia" w:ascii="黑体" w:hAnsi="黑体" w:eastAsia="黑体" w:cs="宋体"/>
          <w:kern w:val="0"/>
          <w:sz w:val="30"/>
          <w:szCs w:val="30"/>
        </w:rPr>
        <w:t>编制说明</w:t>
      </w:r>
    </w:p>
    <w:p>
      <w:pPr>
        <w:jc w:val="center"/>
        <w:rPr>
          <w:rFonts w:ascii="黑体" w:hAnsi="黑体" w:eastAsia="黑体" w:cs="宋体"/>
          <w:color w:val="FF0000"/>
          <w:kern w:val="0"/>
          <w:sz w:val="30"/>
          <w:szCs w:val="30"/>
        </w:rPr>
      </w:pP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专业人才培养方案是参照高等职业学校机电一体化技术（国家）专业教学标准，在专业委员会和行业协会的指导下，由专业带头人主持制订，经专家组论证、学校党委会审定，自2022级执行。制订过程中，我们选取了粤港澳大湾区</w:t>
      </w:r>
      <w:r>
        <w:rPr>
          <w:rFonts w:hint="eastAsia" w:ascii="宋体" w:hAnsi="宋体"/>
          <w:sz w:val="24"/>
          <w:szCs w:val="24"/>
        </w:rPr>
        <w:t>机电一体化技术</w:t>
      </w:r>
      <w:r>
        <w:rPr>
          <w:rFonts w:hint="eastAsia" w:cs="宋体" w:asciiTheme="majorEastAsia" w:hAnsiTheme="majorEastAsia" w:eastAsiaTheme="majorEastAsia"/>
          <w:sz w:val="24"/>
          <w:szCs w:val="24"/>
        </w:rPr>
        <w:t>为主要调研对象，共走访了广东利元亨智能装备股份有限公司、东莞新能德科技有限公司、深圳吉阳智能科技有限公司等1</w:t>
      </w:r>
      <w:r>
        <w:rPr>
          <w:rFonts w:cs="宋体" w:asciiTheme="majorEastAsia" w:hAnsiTheme="majorEastAsia" w:eastAsiaTheme="majorEastAsia"/>
          <w:sz w:val="24"/>
          <w:szCs w:val="24"/>
        </w:rPr>
        <w:t>20</w:t>
      </w:r>
      <w:r>
        <w:rPr>
          <w:rFonts w:hint="eastAsia" w:cs="宋体" w:asciiTheme="majorEastAsia" w:hAnsiTheme="majorEastAsia" w:eastAsiaTheme="majorEastAsia"/>
          <w:sz w:val="24"/>
          <w:szCs w:val="24"/>
        </w:rPr>
        <w:t>多家企业，对企业生产管理人员、人力资源部门负责人等进行了充分的访谈，对往届毕业生进行了跟踪调查，先后邀请广东利元亨智能装备股份有限公司、东莞新能德科技有限公司等行业专家及企业高管等人参与了本方案的制订。</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参加本方案制订的人员主要有：</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专业带头人：侯聪玲    广东工贸职业技术学院     副教授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编制参与人：</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1.学校参与人：</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徐勇军  广东工贸职业技术学院       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丘永亮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邵超城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刘益标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孙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涛</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广东工贸职业技术学院       副教授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color w:val="FF0000"/>
          <w:sz w:val="24"/>
          <w:szCs w:val="24"/>
        </w:rPr>
        <w:t xml:space="preserve"> </w:t>
      </w:r>
      <w:r>
        <w:rPr>
          <w:rFonts w:cs="宋体" w:asciiTheme="majorEastAsia" w:hAnsiTheme="majorEastAsia" w:eastAsiaTheme="majorEastAsia"/>
          <w:color w:val="FF0000"/>
          <w:sz w:val="24"/>
          <w:szCs w:val="24"/>
        </w:rPr>
        <w:t xml:space="preserve">       </w:t>
      </w:r>
      <w:r>
        <w:rPr>
          <w:rFonts w:hint="eastAsia" w:cs="宋体" w:asciiTheme="majorEastAsia" w:hAnsiTheme="majorEastAsia" w:eastAsiaTheme="majorEastAsia"/>
          <w:sz w:val="24"/>
          <w:szCs w:val="24"/>
        </w:rPr>
        <w:t xml:space="preserve">傅仁轩 </w:t>
      </w:r>
      <w:r>
        <w:rPr>
          <w:rFonts w:cs="宋体" w:asciiTheme="majorEastAsia" w:hAnsiTheme="majorEastAsia" w:eastAsiaTheme="majorEastAsia"/>
          <w:color w:val="FF0000"/>
          <w:sz w:val="24"/>
          <w:szCs w:val="24"/>
        </w:rPr>
        <w:t xml:space="preserve"> </w:t>
      </w:r>
      <w:r>
        <w:rPr>
          <w:rFonts w:hint="eastAsia" w:cs="宋体" w:asciiTheme="majorEastAsia" w:hAnsiTheme="majorEastAsia" w:eastAsiaTheme="majorEastAsia"/>
          <w:sz w:val="24"/>
          <w:szCs w:val="24"/>
        </w:rPr>
        <w:t xml:space="preserve">广东工贸职业技术学院       </w:t>
      </w:r>
      <w:r>
        <w:rPr>
          <w:rFonts w:hint="eastAsia" w:ascii="宋体" w:hAnsi="宋体"/>
          <w:sz w:val="24"/>
          <w:szCs w:val="24"/>
        </w:rPr>
        <w:t>研究员级高级工程师</w:t>
      </w:r>
    </w:p>
    <w:p>
      <w:pPr>
        <w:spacing w:line="360" w:lineRule="auto"/>
        <w:ind w:right="1200" w:firstLine="1440" w:firstLineChars="600"/>
        <w:rPr>
          <w:rFonts w:cs="宋体" w:asciiTheme="majorEastAsia" w:hAnsiTheme="majorEastAsia" w:eastAsiaTheme="majorEastAsia"/>
          <w:color w:val="FF0000"/>
          <w:sz w:val="24"/>
          <w:szCs w:val="24"/>
        </w:rPr>
      </w:pPr>
      <w:r>
        <w:rPr>
          <w:rFonts w:hint="eastAsia" w:cs="宋体" w:asciiTheme="majorEastAsia" w:hAnsiTheme="majorEastAsia" w:eastAsiaTheme="majorEastAsia"/>
          <w:sz w:val="24"/>
          <w:szCs w:val="24"/>
        </w:rPr>
        <w:t xml:space="preserve">王朝辉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广东工贸职业技术学院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讲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2.企业参与人：</w:t>
      </w:r>
    </w:p>
    <w:p>
      <w:pPr>
        <w:spacing w:line="360" w:lineRule="auto"/>
        <w:ind w:right="1200" w:firstLine="960" w:firstLineChars="400"/>
        <w:rPr>
          <w:rFonts w:cs="宋体" w:asciiTheme="majorEastAsia" w:hAnsiTheme="majorEastAsia" w:eastAsiaTheme="majorEastAsia"/>
          <w:sz w:val="24"/>
          <w:szCs w:val="24"/>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阳如坤</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hint="eastAsia" w:cs="宋体" w:asciiTheme="majorEastAsia" w:hAnsiTheme="majorEastAsia" w:eastAsiaTheme="majorEastAsia"/>
          <w:sz w:val="24"/>
          <w:szCs w:val="24"/>
        </w:rPr>
        <w:t xml:space="preserve">深圳吉阳智能科技有限公司   </w:t>
      </w:r>
      <w:r>
        <w:rPr>
          <w:rFonts w:hint="eastAsia" w:cs="宋体" w:asciiTheme="majorEastAsia" w:hAnsiTheme="majorEastAsia" w:eastAsiaTheme="majorEastAsia"/>
          <w:sz w:val="24"/>
          <w:szCs w:val="24"/>
          <w:lang w:val="en-US" w:eastAsia="zh-CN"/>
        </w:rPr>
        <w:t xml:space="preserve">      </w:t>
      </w:r>
      <w:r>
        <w:rPr>
          <w:rFonts w:hint="eastAsia" w:cs="宋体" w:asciiTheme="majorEastAsia" w:hAnsiTheme="majorEastAsia" w:eastAsiaTheme="majorEastAsia"/>
          <w:sz w:val="24"/>
          <w:szCs w:val="24"/>
        </w:rPr>
        <w:t>经理</w:t>
      </w:r>
    </w:p>
    <w:p>
      <w:pPr>
        <w:snapToGrid w:val="0"/>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 xml:space="preserve"> </w:t>
      </w:r>
      <w:r>
        <w:rPr>
          <w:rFonts w:cs="宋体" w:asciiTheme="majorEastAsia" w:hAnsiTheme="majorEastAsia" w:eastAsiaTheme="majorEastAsia"/>
          <w:color w:val="FF0000"/>
          <w:sz w:val="24"/>
          <w:szCs w:val="24"/>
        </w:rPr>
        <w:t xml:space="preserve">       </w:t>
      </w:r>
      <w:r>
        <w:rPr>
          <w:rFonts w:hint="eastAsia" w:ascii="宋体" w:hAnsi="宋体"/>
          <w:sz w:val="24"/>
        </w:rPr>
        <w:t>刘</w:t>
      </w:r>
      <w:r>
        <w:rPr>
          <w:rFonts w:hint="eastAsia" w:ascii="宋体" w:hAnsi="宋体"/>
          <w:sz w:val="24"/>
          <w:lang w:val="en-US" w:eastAsia="zh-CN"/>
        </w:rPr>
        <w:t>凌霄</w:t>
      </w:r>
      <w:r>
        <w:rPr>
          <w:rFonts w:hint="eastAsia" w:ascii="宋体" w:hAnsi="宋体"/>
          <w:sz w:val="24"/>
          <w:szCs w:val="24"/>
        </w:rPr>
        <w:t xml:space="preserve"> </w:t>
      </w:r>
      <w:r>
        <w:rPr>
          <w:rFonts w:hint="eastAsia" w:ascii="宋体" w:hAnsi="宋体"/>
          <w:sz w:val="24"/>
          <w:lang w:val="en-US" w:eastAsia="zh-CN"/>
        </w:rPr>
        <w:t>广州市德星自动化设备</w:t>
      </w:r>
      <w:r>
        <w:rPr>
          <w:rFonts w:hint="eastAsia" w:ascii="宋体" w:hAnsi="宋体"/>
          <w:sz w:val="24"/>
        </w:rPr>
        <w:t xml:space="preserve">有限公司 </w:t>
      </w:r>
      <w:r>
        <w:rPr>
          <w:rFonts w:ascii="宋体" w:hAnsi="宋体"/>
          <w:sz w:val="24"/>
        </w:rPr>
        <w:t xml:space="preserve">    </w:t>
      </w:r>
      <w:r>
        <w:rPr>
          <w:rFonts w:hint="eastAsia" w:ascii="宋体" w:hAnsi="宋体"/>
          <w:sz w:val="24"/>
        </w:rPr>
        <w:t>经理</w:t>
      </w:r>
    </w:p>
    <w:p>
      <w:pPr>
        <w:spacing w:line="360" w:lineRule="auto"/>
        <w:ind w:right="1200" w:firstLine="480" w:firstLineChars="200"/>
        <w:rPr>
          <w:rFonts w:cs="宋体" w:asciiTheme="majorEastAsia" w:hAnsiTheme="majorEastAsia" w:eastAsiaTheme="majorEastAsia"/>
          <w:color w:val="FF0000"/>
          <w:sz w:val="24"/>
          <w:szCs w:val="24"/>
        </w:rPr>
      </w:pPr>
    </w:p>
    <w:p>
      <w:pPr>
        <w:spacing w:line="360" w:lineRule="auto"/>
        <w:ind w:firstLine="6240" w:firstLineChars="2600"/>
        <w:rPr>
          <w:rFonts w:ascii="宋体" w:hAnsi="宋体" w:eastAsia="宋体" w:cs="宋体"/>
          <w:sz w:val="24"/>
          <w:szCs w:val="24"/>
        </w:rPr>
      </w:pPr>
      <w:r>
        <w:rPr>
          <w:rFonts w:hint="eastAsia" w:cs="宋体" w:asciiTheme="majorEastAsia" w:hAnsiTheme="majorEastAsia" w:eastAsiaTheme="majorEastAsia"/>
          <w:sz w:val="24"/>
          <w:szCs w:val="24"/>
        </w:rPr>
        <w:t>机电工程</w:t>
      </w:r>
      <w:r>
        <w:rPr>
          <w:rFonts w:hint="eastAsia" w:ascii="宋体" w:hAnsi="宋体" w:eastAsia="宋体" w:cs="宋体"/>
          <w:sz w:val="24"/>
          <w:szCs w:val="24"/>
        </w:rPr>
        <w:t>学院</w:t>
      </w:r>
    </w:p>
    <w:p>
      <w:pPr>
        <w:spacing w:line="360" w:lineRule="auto"/>
        <w:ind w:right="960" w:firstLine="480" w:firstLineChars="200"/>
        <w:jc w:val="center"/>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 xml:space="preserve">                                 </w:t>
      </w:r>
      <w:r>
        <w:rPr>
          <w:rFonts w:hint="eastAsia" w:cs="宋体" w:asciiTheme="majorEastAsia" w:hAnsiTheme="majorEastAsia" w:eastAsiaTheme="majorEastAsia"/>
          <w:sz w:val="24"/>
          <w:szCs w:val="24"/>
        </w:rPr>
        <w:t>深圳吉阳智能科技有限公司</w:t>
      </w:r>
    </w:p>
    <w:p>
      <w:pPr>
        <w:spacing w:line="360" w:lineRule="auto"/>
        <w:ind w:right="1440" w:firstLine="480" w:firstLineChars="200"/>
        <w:jc w:val="right"/>
        <w:rPr>
          <w:rFonts w:hint="eastAsia" w:ascii="宋体" w:hAnsi="宋体"/>
          <w:sz w:val="24"/>
        </w:rPr>
      </w:pPr>
      <w:r>
        <w:rPr>
          <w:rFonts w:hint="eastAsia" w:ascii="宋体" w:hAnsi="宋体"/>
          <w:sz w:val="24"/>
          <w:lang w:val="en-US" w:eastAsia="zh-CN"/>
        </w:rPr>
        <w:t xml:space="preserve">     广州市德星自动化设备</w:t>
      </w:r>
      <w:r>
        <w:rPr>
          <w:rFonts w:hint="eastAsia" w:ascii="宋体" w:hAnsi="宋体"/>
          <w:sz w:val="24"/>
        </w:rPr>
        <w:t>有限公司</w:t>
      </w:r>
    </w:p>
    <w:p>
      <w:pPr>
        <w:spacing w:line="360" w:lineRule="auto"/>
        <w:ind w:right="1440" w:firstLine="480" w:firstLineChars="200"/>
        <w:jc w:val="right"/>
        <w:rPr>
          <w:rFonts w:ascii="宋体" w:hAnsi="宋体" w:eastAsia="宋体" w:cs="宋体"/>
          <w:sz w:val="24"/>
          <w:szCs w:val="24"/>
        </w:rPr>
      </w:pPr>
      <w:r>
        <w:rPr>
          <w:rFonts w:hint="eastAsia" w:ascii="宋体" w:hAnsi="宋体" w:eastAsia="宋体" w:cs="宋体"/>
          <w:sz w:val="24"/>
          <w:szCs w:val="24"/>
        </w:rPr>
        <w:t>202</w:t>
      </w:r>
      <w:r>
        <w:rPr>
          <w:rFonts w:ascii="宋体" w:hAnsi="宋体" w:eastAsia="宋体" w:cs="宋体"/>
          <w:sz w:val="24"/>
          <w:szCs w:val="24"/>
        </w:rPr>
        <w:t>2</w:t>
      </w:r>
      <w:r>
        <w:rPr>
          <w:rFonts w:hint="eastAsia" w:ascii="宋体" w:hAnsi="宋体" w:eastAsia="宋体" w:cs="宋体"/>
          <w:sz w:val="24"/>
          <w:szCs w:val="24"/>
        </w:rPr>
        <w:t>年3月</w:t>
      </w:r>
    </w:p>
    <w:p>
      <w:pPr>
        <w:widowControl/>
        <w:jc w:val="left"/>
        <w:rPr>
          <w:rFonts w:ascii="宋体" w:hAnsi="宋体" w:eastAsia="宋体" w:cs="宋体"/>
          <w:sz w:val="24"/>
          <w:szCs w:val="24"/>
        </w:rPr>
      </w:pPr>
      <w:r>
        <w:rPr>
          <w:rFonts w:ascii="宋体" w:hAnsi="宋体" w:eastAsia="宋体" w:cs="宋体"/>
          <w:sz w:val="24"/>
          <w:szCs w:val="24"/>
        </w:rPr>
        <w:br w:type="page"/>
      </w:r>
    </w:p>
    <w:sdt>
      <w:sdtPr>
        <w:rPr>
          <w:b/>
          <w:bCs/>
          <w:lang w:val="zh-CN"/>
        </w:rPr>
        <w:id w:val="-533261476"/>
        <w:docPartObj>
          <w:docPartGallery w:val="Table of Contents"/>
          <w:docPartUnique/>
        </w:docPartObj>
      </w:sdtPr>
      <w:sdtEndPr>
        <w:rPr>
          <w:b w:val="0"/>
          <w:bCs w:val="0"/>
          <w:lang w:val="zh-CN"/>
        </w:rPr>
      </w:sdtEndPr>
      <w:sdtContent>
        <w:p>
          <w:pPr>
            <w:jc w:val="center"/>
            <w:rPr>
              <w:b/>
              <w:bCs/>
              <w:lang w:val="zh-CN"/>
            </w:rPr>
          </w:pPr>
        </w:p>
        <w:p>
          <w:pPr>
            <w:jc w:val="center"/>
            <w:rPr>
              <w:rFonts w:ascii="黑体" w:hAnsi="黑体" w:eastAsia="黑体"/>
              <w:color w:val="000000" w:themeColor="text1"/>
              <w:sz w:val="32"/>
              <w:szCs w:val="36"/>
              <w:lang w:val="zh-CN"/>
              <w14:textFill>
                <w14:solidFill>
                  <w14:schemeClr w14:val="tx1"/>
                </w14:solidFill>
              </w14:textFill>
            </w:rPr>
          </w:pPr>
          <w:r>
            <w:rPr>
              <w:rFonts w:ascii="黑体" w:hAnsi="黑体" w:eastAsia="黑体"/>
              <w:color w:val="000000" w:themeColor="text1"/>
              <w:sz w:val="32"/>
              <w:szCs w:val="36"/>
              <w:lang w:val="zh-CN"/>
              <w14:textFill>
                <w14:solidFill>
                  <w14:schemeClr w14:val="tx1"/>
                </w14:solidFill>
              </w14:textFill>
            </w:rPr>
            <w:t>目</w:t>
          </w:r>
          <w:r>
            <w:rPr>
              <w:rFonts w:hint="eastAsia" w:ascii="黑体" w:hAnsi="黑体" w:eastAsia="黑体"/>
              <w:color w:val="000000" w:themeColor="text1"/>
              <w:sz w:val="32"/>
              <w:szCs w:val="36"/>
              <w:lang w:val="zh-CN"/>
              <w14:textFill>
                <w14:solidFill>
                  <w14:schemeClr w14:val="tx1"/>
                </w14:solidFill>
              </w14:textFill>
            </w:rPr>
            <w:t xml:space="preserve"> </w:t>
          </w:r>
          <w:r>
            <w:rPr>
              <w:rFonts w:ascii="黑体" w:hAnsi="黑体" w:eastAsia="黑体"/>
              <w:color w:val="000000" w:themeColor="text1"/>
              <w:sz w:val="32"/>
              <w:szCs w:val="36"/>
              <w:lang w:val="zh-CN"/>
              <w14:textFill>
                <w14:solidFill>
                  <w14:schemeClr w14:val="tx1"/>
                </w14:solidFill>
              </w14:textFill>
            </w:rPr>
            <w:t xml:space="preserve"> 录</w:t>
          </w:r>
        </w:p>
        <w:p>
          <w:pPr>
            <w:jc w:val="center"/>
            <w:rPr>
              <w:color w:val="000000" w:themeColor="text1"/>
              <w:sz w:val="28"/>
              <w:szCs w:val="32"/>
              <w14:textFill>
                <w14:solidFill>
                  <w14:schemeClr w14:val="tx1"/>
                </w14:solidFill>
              </w14:textFill>
            </w:rPr>
          </w:pPr>
        </w:p>
        <w:p>
          <w:pPr>
            <w:pStyle w:val="11"/>
            <w:tabs>
              <w:tab w:val="right" w:leader="dot" w:pos="9436"/>
            </w:tabs>
          </w:pPr>
          <w:r>
            <w:fldChar w:fldCharType="begin"/>
          </w:r>
          <w:r>
            <w:instrText xml:space="preserve"> TOC \o "1-3" \h \z \u </w:instrText>
          </w:r>
          <w:r>
            <w:fldChar w:fldCharType="separate"/>
          </w:r>
          <w:r>
            <w:fldChar w:fldCharType="begin"/>
          </w:r>
          <w:r>
            <w:instrText xml:space="preserve"> HYPERLINK \l "_Toc89793261" </w:instrText>
          </w:r>
          <w:r>
            <w:fldChar w:fldCharType="separate"/>
          </w:r>
          <w:r>
            <w:rPr>
              <w:rStyle w:val="19"/>
            </w:rPr>
            <w:t>一、专业名称及代码</w:t>
          </w:r>
          <w:r>
            <w:tab/>
          </w:r>
          <w:r>
            <w:fldChar w:fldCharType="begin"/>
          </w:r>
          <w:r>
            <w:instrText xml:space="preserve"> PAGEREF _Toc89793261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"_Toc89793262" </w:instrText>
          </w:r>
          <w:r>
            <w:fldChar w:fldCharType="separate"/>
          </w:r>
          <w:r>
            <w:rPr>
              <w:rStyle w:val="19"/>
            </w:rPr>
            <w:t>二、入学要求</w:t>
          </w:r>
          <w:r>
            <w:tab/>
          </w:r>
          <w:r>
            <w:fldChar w:fldCharType="begin"/>
          </w:r>
          <w:r>
            <w:instrText xml:space="preserve"> PAGEREF _Toc89793262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"_Toc89793263" </w:instrText>
          </w:r>
          <w:r>
            <w:fldChar w:fldCharType="separate"/>
          </w:r>
          <w:r>
            <w:rPr>
              <w:rStyle w:val="19"/>
            </w:rPr>
            <w:t>三、修业年限</w:t>
          </w:r>
          <w:r>
            <w:tab/>
          </w:r>
          <w:r>
            <w:fldChar w:fldCharType="begin"/>
          </w:r>
          <w:r>
            <w:instrText xml:space="preserve"> PAGEREF _Toc89793263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"_Toc89793264" </w:instrText>
          </w:r>
          <w:r>
            <w:fldChar w:fldCharType="separate"/>
          </w:r>
          <w:r>
            <w:rPr>
              <w:rStyle w:val="19"/>
            </w:rPr>
            <w:t>四、职业面向</w:t>
          </w:r>
          <w:r>
            <w:tab/>
          </w:r>
          <w:r>
            <w:fldChar w:fldCharType="begin"/>
          </w:r>
          <w:r>
            <w:instrText xml:space="preserve"> PAGEREF _Toc89793264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"_Toc89793265" </w:instrText>
          </w:r>
          <w:r>
            <w:fldChar w:fldCharType="separate"/>
          </w:r>
          <w:r>
            <w:rPr>
              <w:rStyle w:val="19"/>
            </w:rPr>
            <w:t>五、培养目标与培养规格</w:t>
          </w:r>
          <w:r>
            <w:tab/>
          </w:r>
          <w:r>
            <w:fldChar w:fldCharType="begin"/>
          </w:r>
          <w:r>
            <w:instrText xml:space="preserve"> PAGEREF _Toc89793265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"_Toc89793266" </w:instrText>
          </w:r>
          <w:r>
            <w:fldChar w:fldCharType="separate"/>
          </w:r>
          <w:r>
            <w:rPr>
              <w:rStyle w:val="19"/>
            </w:rPr>
            <w:t>（一）培养目标</w:t>
          </w:r>
          <w:r>
            <w:tab/>
          </w:r>
          <w:r>
            <w:fldChar w:fldCharType="begin"/>
          </w:r>
          <w:r>
            <w:instrText xml:space="preserve"> PAGEREF _Toc89793266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"_Toc89793267" </w:instrText>
          </w:r>
          <w:r>
            <w:fldChar w:fldCharType="separate"/>
          </w:r>
          <w:r>
            <w:rPr>
              <w:rStyle w:val="19"/>
            </w:rPr>
            <w:t>（二）培养规格</w:t>
          </w:r>
          <w:r>
            <w:tab/>
          </w:r>
          <w:r>
            <w:fldChar w:fldCharType="begin"/>
          </w:r>
          <w:r>
            <w:instrText xml:space="preserve"> PAGEREF _Toc89793267 \h </w:instrText>
          </w:r>
          <w:r>
            <w:fldChar w:fldCharType="separate"/>
          </w:r>
          <w:r>
            <w:t>5</w:t>
          </w:r>
          <w:r>
            <w:fldChar w:fldCharType="end"/>
          </w:r>
          <w:r>
            <w:fldChar w:fldCharType="end"/>
          </w:r>
        </w:p>
        <w:p>
          <w:pPr>
            <w:pStyle w:val="11"/>
            <w:tabs>
              <w:tab w:val="right" w:leader="dot" w:pos="9436"/>
            </w:tabs>
          </w:pPr>
          <w:r>
            <w:fldChar w:fldCharType="begin"/>
          </w:r>
          <w:r>
            <w:instrText xml:space="preserve"> HYPERLINK \l "_Toc89793271" </w:instrText>
          </w:r>
          <w:r>
            <w:fldChar w:fldCharType="separate"/>
          </w:r>
          <w:r>
            <w:rPr>
              <w:rStyle w:val="19"/>
            </w:rPr>
            <w:t>六、课程设置及要求</w:t>
          </w:r>
          <w:r>
            <w:tab/>
          </w:r>
          <w:r>
            <w:fldChar w:fldCharType="begin"/>
          </w:r>
          <w:r>
            <w:instrText xml:space="preserve"> PAGEREF _Toc89793271 \h </w:instrText>
          </w:r>
          <w:r>
            <w:fldChar w:fldCharType="separate"/>
          </w:r>
          <w:r>
            <w:t>5</w:t>
          </w:r>
          <w:r>
            <w:fldChar w:fldCharType="end"/>
          </w:r>
          <w:r>
            <w:fldChar w:fldCharType="end"/>
          </w:r>
        </w:p>
        <w:p>
          <w:pPr>
            <w:pStyle w:val="12"/>
            <w:tabs>
              <w:tab w:val="right" w:leader="dot" w:pos="9436"/>
            </w:tabs>
          </w:pPr>
          <w:r>
            <w:fldChar w:fldCharType="begin"/>
          </w:r>
          <w:r>
            <w:instrText xml:space="preserve"> HYPERLINK \l "_Toc89793272" </w:instrText>
          </w:r>
          <w:r>
            <w:fldChar w:fldCharType="separate"/>
          </w:r>
          <w:r>
            <w:rPr>
              <w:rStyle w:val="19"/>
            </w:rPr>
            <w:t>（一）公共基础课程</w:t>
          </w:r>
          <w:r>
            <w:tab/>
          </w:r>
          <w:r>
            <w:fldChar w:fldCharType="begin"/>
          </w:r>
          <w:r>
            <w:instrText xml:space="preserve"> PAGEREF _Toc89793272 \h </w:instrText>
          </w:r>
          <w:r>
            <w:fldChar w:fldCharType="separate"/>
          </w:r>
          <w:r>
            <w:t>5</w:t>
          </w:r>
          <w:r>
            <w:fldChar w:fldCharType="end"/>
          </w:r>
          <w:r>
            <w:fldChar w:fldCharType="end"/>
          </w:r>
        </w:p>
        <w:p>
          <w:pPr>
            <w:pStyle w:val="12"/>
            <w:tabs>
              <w:tab w:val="right" w:leader="dot" w:pos="9436"/>
            </w:tabs>
          </w:pPr>
          <w:r>
            <w:fldChar w:fldCharType="begin"/>
          </w:r>
          <w:r>
            <w:instrText xml:space="preserve"> HYPERLINK \l "_Toc89793276" </w:instrText>
          </w:r>
          <w:r>
            <w:fldChar w:fldCharType="separate"/>
          </w:r>
          <w:r>
            <w:rPr>
              <w:rStyle w:val="19"/>
            </w:rPr>
            <w:t>（二）专业（技能）课程</w:t>
          </w:r>
          <w:r>
            <w:tab/>
          </w:r>
          <w:r>
            <w:fldChar w:fldCharType="begin"/>
          </w:r>
          <w:r>
            <w:instrText xml:space="preserve"> PAGEREF _Toc89793276 \h </w:instrText>
          </w:r>
          <w:r>
            <w:fldChar w:fldCharType="separate"/>
          </w:r>
          <w:r>
            <w:t>11</w:t>
          </w:r>
          <w:r>
            <w:fldChar w:fldCharType="end"/>
          </w:r>
          <w:r>
            <w:fldChar w:fldCharType="end"/>
          </w:r>
        </w:p>
        <w:p>
          <w:pPr>
            <w:pStyle w:val="12"/>
            <w:tabs>
              <w:tab w:val="right" w:leader="dot" w:pos="9436"/>
            </w:tabs>
          </w:pPr>
          <w:r>
            <w:fldChar w:fldCharType="begin"/>
          </w:r>
          <w:r>
            <w:instrText xml:space="preserve"> HYPERLINK \l "_Toc89793280" </w:instrText>
          </w:r>
          <w:r>
            <w:fldChar w:fldCharType="separate"/>
          </w:r>
          <w:r>
            <w:rPr>
              <w:rStyle w:val="19"/>
            </w:rPr>
            <w:t>（三）各类课程学时学分比例表</w:t>
          </w:r>
          <w:r>
            <w:tab/>
          </w:r>
          <w:r>
            <w:fldChar w:fldCharType="begin"/>
          </w:r>
          <w:r>
            <w:instrText xml:space="preserve"> PAGEREF _Toc89793280 \h </w:instrText>
          </w:r>
          <w:r>
            <w:fldChar w:fldCharType="separate"/>
          </w:r>
          <w:r>
            <w:t>18</w:t>
          </w:r>
          <w:r>
            <w:fldChar w:fldCharType="end"/>
          </w:r>
          <w:r>
            <w:fldChar w:fldCharType="end"/>
          </w:r>
        </w:p>
        <w:p>
          <w:pPr>
            <w:pStyle w:val="11"/>
            <w:tabs>
              <w:tab w:val="right" w:leader="dot" w:pos="9436"/>
            </w:tabs>
          </w:pPr>
          <w:r>
            <w:fldChar w:fldCharType="begin"/>
          </w:r>
          <w:r>
            <w:instrText xml:space="preserve"> HYPERLINK \l "_Toc89793281" </w:instrText>
          </w:r>
          <w:r>
            <w:fldChar w:fldCharType="separate"/>
          </w:r>
          <w:r>
            <w:rPr>
              <w:rStyle w:val="19"/>
            </w:rPr>
            <w:t>七、教学进程总体安排</w:t>
          </w:r>
          <w:r>
            <w:tab/>
          </w:r>
          <w:r>
            <w:fldChar w:fldCharType="begin"/>
          </w:r>
          <w:r>
            <w:instrText xml:space="preserve"> PAGEREF _Toc89793281 \h </w:instrText>
          </w:r>
          <w:r>
            <w:fldChar w:fldCharType="separate"/>
          </w:r>
          <w:r>
            <w:t>18</w:t>
          </w:r>
          <w:r>
            <w:fldChar w:fldCharType="end"/>
          </w:r>
          <w:r>
            <w:fldChar w:fldCharType="end"/>
          </w:r>
        </w:p>
        <w:p>
          <w:pPr>
            <w:pStyle w:val="12"/>
            <w:tabs>
              <w:tab w:val="right" w:leader="dot" w:pos="9436"/>
            </w:tabs>
          </w:pPr>
          <w:r>
            <w:fldChar w:fldCharType="begin"/>
          </w:r>
          <w:r>
            <w:instrText xml:space="preserve"> HYPERLINK \l "_Toc89793282" </w:instrText>
          </w:r>
          <w:r>
            <w:fldChar w:fldCharType="separate"/>
          </w:r>
          <w:r>
            <w:rPr>
              <w:rStyle w:val="19"/>
            </w:rPr>
            <w:t>（一）专业教学计划表</w:t>
          </w:r>
          <w:r>
            <w:tab/>
          </w:r>
          <w:r>
            <w:fldChar w:fldCharType="begin"/>
          </w:r>
          <w:r>
            <w:instrText xml:space="preserve"> PAGEREF _Toc89793282 \h </w:instrText>
          </w:r>
          <w:r>
            <w:fldChar w:fldCharType="separate"/>
          </w:r>
          <w:r>
            <w:t>18</w:t>
          </w:r>
          <w:r>
            <w:fldChar w:fldCharType="end"/>
          </w:r>
          <w:r>
            <w:fldChar w:fldCharType="end"/>
          </w:r>
        </w:p>
        <w:p>
          <w:pPr>
            <w:pStyle w:val="12"/>
            <w:tabs>
              <w:tab w:val="right" w:leader="dot" w:pos="9436"/>
            </w:tabs>
          </w:pPr>
          <w:r>
            <w:fldChar w:fldCharType="begin"/>
          </w:r>
          <w:r>
            <w:instrText xml:space="preserve"> HYPERLINK \l "_Toc89793283" </w:instrText>
          </w:r>
          <w:r>
            <w:fldChar w:fldCharType="separate"/>
          </w:r>
          <w:r>
            <w:rPr>
              <w:rStyle w:val="19"/>
            </w:rPr>
            <w:t>（二）专业教育教学活动时间安排表</w:t>
          </w:r>
          <w:r>
            <w:tab/>
          </w:r>
          <w:r>
            <w:fldChar w:fldCharType="begin"/>
          </w:r>
          <w:r>
            <w:instrText xml:space="preserve"> PAGEREF _Toc89793283 \h </w:instrText>
          </w:r>
          <w:r>
            <w:fldChar w:fldCharType="separate"/>
          </w:r>
          <w:r>
            <w:t>19</w:t>
          </w:r>
          <w:r>
            <w:fldChar w:fldCharType="end"/>
          </w:r>
          <w:r>
            <w:fldChar w:fldCharType="end"/>
          </w:r>
        </w:p>
        <w:p>
          <w:pPr>
            <w:pStyle w:val="11"/>
            <w:tabs>
              <w:tab w:val="right" w:leader="dot" w:pos="9436"/>
            </w:tabs>
          </w:pPr>
          <w:r>
            <w:fldChar w:fldCharType="begin"/>
          </w:r>
          <w:r>
            <w:instrText xml:space="preserve"> HYPERLINK \l "_Toc89793284" </w:instrText>
          </w:r>
          <w:r>
            <w:fldChar w:fldCharType="separate"/>
          </w:r>
          <w:r>
            <w:rPr>
              <w:rStyle w:val="19"/>
            </w:rPr>
            <w:t>八、实施保障</w:t>
          </w:r>
          <w:r>
            <w:tab/>
          </w:r>
          <w:r>
            <w:fldChar w:fldCharType="begin"/>
          </w:r>
          <w:r>
            <w:instrText xml:space="preserve"> PAGEREF _Toc89793284 \h </w:instrText>
          </w:r>
          <w:r>
            <w:fldChar w:fldCharType="separate"/>
          </w:r>
          <w:r>
            <w:t>19</w:t>
          </w:r>
          <w:r>
            <w:fldChar w:fldCharType="end"/>
          </w:r>
          <w:r>
            <w:fldChar w:fldCharType="end"/>
          </w:r>
        </w:p>
        <w:p>
          <w:pPr>
            <w:pStyle w:val="12"/>
            <w:tabs>
              <w:tab w:val="right" w:leader="dot" w:pos="9436"/>
            </w:tabs>
          </w:pPr>
          <w:r>
            <w:fldChar w:fldCharType="begin"/>
          </w:r>
          <w:r>
            <w:instrText xml:space="preserve"> HYPERLINK \l "_Toc89793285" </w:instrText>
          </w:r>
          <w:r>
            <w:fldChar w:fldCharType="separate"/>
          </w:r>
          <w:r>
            <w:rPr>
              <w:rStyle w:val="19"/>
            </w:rPr>
            <w:t>（一）师资队伍</w:t>
          </w:r>
          <w:r>
            <w:tab/>
          </w:r>
          <w:r>
            <w:fldChar w:fldCharType="begin"/>
          </w:r>
          <w:r>
            <w:instrText xml:space="preserve"> PAGEREF _Toc89793285 \h </w:instrText>
          </w:r>
          <w:r>
            <w:fldChar w:fldCharType="separate"/>
          </w:r>
          <w:r>
            <w:t>19</w:t>
          </w:r>
          <w:r>
            <w:fldChar w:fldCharType="end"/>
          </w:r>
          <w:r>
            <w:fldChar w:fldCharType="end"/>
          </w:r>
        </w:p>
        <w:p>
          <w:pPr>
            <w:pStyle w:val="12"/>
            <w:tabs>
              <w:tab w:val="right" w:leader="dot" w:pos="9436"/>
            </w:tabs>
          </w:pPr>
          <w:r>
            <w:fldChar w:fldCharType="begin"/>
          </w:r>
          <w:r>
            <w:instrText xml:space="preserve"> HYPERLINK \l "_Toc89793286" </w:instrText>
          </w:r>
          <w:r>
            <w:fldChar w:fldCharType="separate"/>
          </w:r>
          <w:r>
            <w:rPr>
              <w:rStyle w:val="19"/>
            </w:rPr>
            <w:t>（二）教学设施</w:t>
          </w:r>
          <w:r>
            <w:tab/>
          </w:r>
          <w:r>
            <w:fldChar w:fldCharType="begin"/>
          </w:r>
          <w:r>
            <w:instrText xml:space="preserve"> PAGEREF _Toc89793286 \h </w:instrText>
          </w:r>
          <w:r>
            <w:fldChar w:fldCharType="separate"/>
          </w:r>
          <w:r>
            <w:t>19</w:t>
          </w:r>
          <w:r>
            <w:fldChar w:fldCharType="end"/>
          </w:r>
          <w:r>
            <w:fldChar w:fldCharType="end"/>
          </w:r>
        </w:p>
        <w:p>
          <w:pPr>
            <w:pStyle w:val="12"/>
            <w:tabs>
              <w:tab w:val="right" w:leader="dot" w:pos="9436"/>
            </w:tabs>
          </w:pPr>
          <w:r>
            <w:fldChar w:fldCharType="begin"/>
          </w:r>
          <w:r>
            <w:instrText xml:space="preserve"> HYPERLINK \l "_Toc89793287" </w:instrText>
          </w:r>
          <w:r>
            <w:fldChar w:fldCharType="separate"/>
          </w:r>
          <w:r>
            <w:rPr>
              <w:rStyle w:val="19"/>
            </w:rPr>
            <w:t>（三）教学资源</w:t>
          </w:r>
          <w:r>
            <w:tab/>
          </w:r>
          <w:r>
            <w:fldChar w:fldCharType="begin"/>
          </w:r>
          <w:r>
            <w:instrText xml:space="preserve"> PAGEREF _Toc89793287 \h </w:instrText>
          </w:r>
          <w:r>
            <w:fldChar w:fldCharType="separate"/>
          </w:r>
          <w:r>
            <w:t>21</w:t>
          </w:r>
          <w:r>
            <w:fldChar w:fldCharType="end"/>
          </w:r>
          <w:r>
            <w:fldChar w:fldCharType="end"/>
          </w:r>
        </w:p>
        <w:p>
          <w:pPr>
            <w:pStyle w:val="12"/>
            <w:tabs>
              <w:tab w:val="right" w:leader="dot" w:pos="9436"/>
            </w:tabs>
          </w:pPr>
          <w:r>
            <w:fldChar w:fldCharType="begin"/>
          </w:r>
          <w:r>
            <w:instrText xml:space="preserve"> HYPERLINK \l "_Toc89793288" </w:instrText>
          </w:r>
          <w:r>
            <w:fldChar w:fldCharType="separate"/>
          </w:r>
          <w:r>
            <w:rPr>
              <w:rStyle w:val="19"/>
            </w:rPr>
            <w:t>（四）教学方法</w:t>
          </w:r>
          <w:r>
            <w:tab/>
          </w:r>
          <w:r>
            <w:fldChar w:fldCharType="begin"/>
          </w:r>
          <w:r>
            <w:instrText xml:space="preserve"> PAGEREF _Toc89793288 \h </w:instrText>
          </w:r>
          <w:r>
            <w:fldChar w:fldCharType="separate"/>
          </w:r>
          <w:r>
            <w:t>21</w:t>
          </w:r>
          <w:r>
            <w:fldChar w:fldCharType="end"/>
          </w:r>
          <w:r>
            <w:fldChar w:fldCharType="end"/>
          </w:r>
        </w:p>
        <w:p>
          <w:pPr>
            <w:pStyle w:val="12"/>
            <w:tabs>
              <w:tab w:val="right" w:leader="dot" w:pos="9436"/>
            </w:tabs>
          </w:pPr>
          <w:r>
            <w:fldChar w:fldCharType="begin"/>
          </w:r>
          <w:r>
            <w:instrText xml:space="preserve"> HYPERLINK \l "_Toc89793289" </w:instrText>
          </w:r>
          <w:r>
            <w:fldChar w:fldCharType="separate"/>
          </w:r>
          <w:r>
            <w:rPr>
              <w:rStyle w:val="19"/>
            </w:rPr>
            <w:t>（五）学习评价</w:t>
          </w:r>
          <w:r>
            <w:tab/>
          </w:r>
          <w:r>
            <w:fldChar w:fldCharType="begin"/>
          </w:r>
          <w:r>
            <w:instrText xml:space="preserve"> PAGEREF _Toc89793289 \h </w:instrText>
          </w:r>
          <w:r>
            <w:fldChar w:fldCharType="separate"/>
          </w:r>
          <w:r>
            <w:t>22</w:t>
          </w:r>
          <w:r>
            <w:fldChar w:fldCharType="end"/>
          </w:r>
          <w:r>
            <w:fldChar w:fldCharType="end"/>
          </w:r>
        </w:p>
        <w:p>
          <w:pPr>
            <w:pStyle w:val="12"/>
            <w:tabs>
              <w:tab w:val="right" w:leader="dot" w:pos="9436"/>
            </w:tabs>
          </w:pPr>
          <w:r>
            <w:fldChar w:fldCharType="begin"/>
          </w:r>
          <w:r>
            <w:instrText xml:space="preserve"> HYPERLINK \l "_Toc89793290" </w:instrText>
          </w:r>
          <w:r>
            <w:fldChar w:fldCharType="separate"/>
          </w:r>
          <w:r>
            <w:rPr>
              <w:rStyle w:val="19"/>
            </w:rPr>
            <w:t>（六）质量管理</w:t>
          </w:r>
          <w:r>
            <w:tab/>
          </w:r>
          <w:r>
            <w:fldChar w:fldCharType="begin"/>
          </w:r>
          <w:r>
            <w:instrText xml:space="preserve"> PAGEREF _Toc89793290 \h </w:instrText>
          </w:r>
          <w:r>
            <w:fldChar w:fldCharType="separate"/>
          </w:r>
          <w:r>
            <w:t>24</w:t>
          </w:r>
          <w:r>
            <w:fldChar w:fldCharType="end"/>
          </w:r>
          <w:r>
            <w:fldChar w:fldCharType="end"/>
          </w:r>
        </w:p>
        <w:p>
          <w:pPr>
            <w:pStyle w:val="11"/>
            <w:tabs>
              <w:tab w:val="right" w:leader="dot" w:pos="9436"/>
            </w:tabs>
          </w:pPr>
          <w:r>
            <w:fldChar w:fldCharType="begin"/>
          </w:r>
          <w:r>
            <w:instrText xml:space="preserve"> HYPERLINK \l "_Toc89793291" </w:instrText>
          </w:r>
          <w:r>
            <w:fldChar w:fldCharType="separate"/>
          </w:r>
          <w:r>
            <w:rPr>
              <w:rStyle w:val="19"/>
            </w:rPr>
            <w:t>九、毕业要求</w:t>
          </w:r>
          <w:r>
            <w:tab/>
          </w:r>
          <w:r>
            <w:fldChar w:fldCharType="begin"/>
          </w:r>
          <w:r>
            <w:instrText xml:space="preserve"> PAGEREF _Toc89793291 \h </w:instrText>
          </w:r>
          <w:r>
            <w:fldChar w:fldCharType="separate"/>
          </w:r>
          <w:r>
            <w:t>25</w:t>
          </w:r>
          <w:r>
            <w:fldChar w:fldCharType="end"/>
          </w:r>
          <w:r>
            <w:fldChar w:fldCharType="end"/>
          </w:r>
        </w:p>
        <w:p>
          <w:pPr>
            <w:pStyle w:val="12"/>
            <w:tabs>
              <w:tab w:val="right" w:leader="dot" w:pos="9436"/>
            </w:tabs>
          </w:pPr>
          <w:r>
            <w:fldChar w:fldCharType="begin"/>
          </w:r>
          <w:r>
            <w:instrText xml:space="preserve"> HYPERLINK \l "_Toc89793292" </w:instrText>
          </w:r>
          <w:r>
            <w:fldChar w:fldCharType="separate"/>
          </w:r>
          <w:r>
            <w:rPr>
              <w:rStyle w:val="19"/>
            </w:rPr>
            <w:t>（一）学分要求</w:t>
          </w:r>
          <w:r>
            <w:tab/>
          </w:r>
          <w:r>
            <w:fldChar w:fldCharType="begin"/>
          </w:r>
          <w:r>
            <w:instrText xml:space="preserve"> PAGEREF _Toc89793292 \h </w:instrText>
          </w:r>
          <w:r>
            <w:fldChar w:fldCharType="separate"/>
          </w:r>
          <w:r>
            <w:t>25</w:t>
          </w:r>
          <w:r>
            <w:fldChar w:fldCharType="end"/>
          </w:r>
          <w:r>
            <w:fldChar w:fldCharType="end"/>
          </w:r>
        </w:p>
        <w:p>
          <w:pPr>
            <w:pStyle w:val="12"/>
            <w:tabs>
              <w:tab w:val="right" w:leader="dot" w:pos="9436"/>
            </w:tabs>
          </w:pPr>
          <w:r>
            <w:fldChar w:fldCharType="begin"/>
          </w:r>
          <w:r>
            <w:instrText xml:space="preserve"> HYPERLINK \l "_Toc89793293" </w:instrText>
          </w:r>
          <w:r>
            <w:fldChar w:fldCharType="separate"/>
          </w:r>
          <w:r>
            <w:rPr>
              <w:rStyle w:val="19"/>
            </w:rPr>
            <w:t>（二）体质测试要求</w:t>
          </w:r>
          <w:r>
            <w:tab/>
          </w:r>
          <w:r>
            <w:fldChar w:fldCharType="begin"/>
          </w:r>
          <w:r>
            <w:instrText xml:space="preserve"> PAGEREF _Toc89793293 \h </w:instrText>
          </w:r>
          <w:r>
            <w:fldChar w:fldCharType="separate"/>
          </w:r>
          <w:r>
            <w:t>25</w:t>
          </w:r>
          <w:r>
            <w:fldChar w:fldCharType="end"/>
          </w:r>
          <w:r>
            <w:fldChar w:fldCharType="end"/>
          </w:r>
        </w:p>
        <w:p>
          <w:pPr>
            <w:pStyle w:val="12"/>
            <w:tabs>
              <w:tab w:val="right" w:leader="dot" w:pos="9436"/>
            </w:tabs>
          </w:pPr>
          <w:r>
            <w:fldChar w:fldCharType="begin"/>
          </w:r>
          <w:r>
            <w:instrText xml:space="preserve"> HYPERLINK \l "_Toc89793294" </w:instrText>
          </w:r>
          <w:r>
            <w:fldChar w:fldCharType="separate"/>
          </w:r>
          <w:r>
            <w:rPr>
              <w:rStyle w:val="19"/>
            </w:rPr>
            <w:t>（三）德智体美劳全面发展培养要求</w:t>
          </w:r>
          <w:r>
            <w:tab/>
          </w:r>
          <w:r>
            <w:fldChar w:fldCharType="begin"/>
          </w:r>
          <w:r>
            <w:instrText xml:space="preserve"> PAGEREF _Toc89793294 \h </w:instrText>
          </w:r>
          <w:r>
            <w:fldChar w:fldCharType="separate"/>
          </w:r>
          <w:r>
            <w:t>25</w:t>
          </w:r>
          <w:r>
            <w:fldChar w:fldCharType="end"/>
          </w:r>
          <w:r>
            <w:fldChar w:fldCharType="end"/>
          </w:r>
        </w:p>
        <w:p>
          <w:r>
            <w:rPr>
              <w:b/>
              <w:bCs/>
              <w:lang w:val="zh-CN"/>
            </w:rPr>
            <w:fldChar w:fldCharType="end"/>
          </w:r>
        </w:p>
      </w:sdtContent>
    </w:sdt>
    <w:p>
      <w:pPr>
        <w:spacing w:line="360" w:lineRule="auto"/>
        <w:ind w:right="1200" w:firstLine="480" w:firstLineChars="200"/>
        <w:jc w:val="center"/>
        <w:rPr>
          <w:rFonts w:ascii="宋体" w:hAnsi="宋体" w:eastAsia="宋体" w:cs="宋体"/>
          <w:sz w:val="24"/>
          <w:szCs w:val="24"/>
        </w:rPr>
        <w:sectPr>
          <w:headerReference r:id="rId3" w:type="default"/>
          <w:footerReference r:id="rId4" w:type="default"/>
          <w:pgSz w:w="11906" w:h="16838"/>
          <w:pgMar w:top="1134" w:right="1230" w:bottom="1440" w:left="1230" w:header="851" w:footer="992" w:gutter="0"/>
          <w:pgNumType w:start="1"/>
          <w:cols w:space="720" w:num="1"/>
          <w:titlePg/>
          <w:docGrid w:type="lines" w:linePitch="312" w:charSpace="0"/>
        </w:sectPr>
      </w:pPr>
    </w:p>
    <w:bookmarkEnd w:id="0"/>
    <w:p>
      <w:pPr>
        <w:pStyle w:val="2"/>
      </w:pPr>
      <w:bookmarkStart w:id="1" w:name="_Toc89793261"/>
      <w:r>
        <w:rPr>
          <w:rFonts w:hint="eastAsia"/>
        </w:rPr>
        <w:t>一、专业名称及代码</w:t>
      </w:r>
      <w:bookmarkEnd w:id="1"/>
    </w:p>
    <w:p>
      <w:pPr>
        <w:ind w:firstLine="422" w:firstLineChars="200"/>
        <w:rPr>
          <w:rFonts w:asciiTheme="minorEastAsia" w:hAnsiTheme="minorEastAsia"/>
        </w:rPr>
      </w:pPr>
      <w:r>
        <w:rPr>
          <w:rFonts w:hint="eastAsia" w:asciiTheme="majorEastAsia" w:hAnsiTheme="majorEastAsia" w:eastAsiaTheme="majorEastAsia"/>
          <w:b/>
          <w:bCs/>
        </w:rPr>
        <w:t>专业名称：</w:t>
      </w:r>
      <w:r>
        <w:rPr>
          <w:rFonts w:hint="eastAsia" w:asciiTheme="minorEastAsia" w:hAnsiTheme="minorEastAsia"/>
          <w:szCs w:val="21"/>
        </w:rPr>
        <w:t>机电一体化技术</w:t>
      </w:r>
    </w:p>
    <w:p>
      <w:pPr>
        <w:ind w:firstLine="422" w:firstLineChars="200"/>
        <w:rPr>
          <w:rFonts w:asciiTheme="majorEastAsia" w:hAnsiTheme="majorEastAsia" w:eastAsiaTheme="majorEastAsia"/>
        </w:rPr>
      </w:pPr>
      <w:r>
        <w:rPr>
          <w:rFonts w:hint="eastAsia" w:asciiTheme="majorEastAsia" w:hAnsiTheme="majorEastAsia" w:eastAsiaTheme="majorEastAsia"/>
          <w:b/>
          <w:bCs/>
        </w:rPr>
        <w:t>专业代码：</w:t>
      </w:r>
      <w:r>
        <w:rPr>
          <w:rFonts w:hint="eastAsia" w:asciiTheme="minorEastAsia" w:hAnsiTheme="minorEastAsia"/>
          <w:szCs w:val="21"/>
        </w:rPr>
        <w:t>460301</w:t>
      </w:r>
    </w:p>
    <w:p>
      <w:pPr>
        <w:rPr>
          <w:rFonts w:asciiTheme="majorEastAsia" w:hAnsiTheme="majorEastAsia" w:eastAsiaTheme="majorEastAsia"/>
        </w:rPr>
      </w:pPr>
    </w:p>
    <w:p>
      <w:pPr>
        <w:pStyle w:val="2"/>
      </w:pPr>
      <w:bookmarkStart w:id="2" w:name="_Toc89793262"/>
      <w:r>
        <w:rPr>
          <w:rFonts w:hint="eastAsia"/>
        </w:rPr>
        <w:t>二、入学要求</w:t>
      </w:r>
      <w:bookmarkEnd w:id="2"/>
    </w:p>
    <w:p>
      <w:pPr>
        <w:ind w:firstLine="420" w:firstLineChars="200"/>
        <w:rPr>
          <w:rFonts w:asciiTheme="minorEastAsia" w:hAnsiTheme="minorEastAsia"/>
        </w:rPr>
      </w:pPr>
      <w:r>
        <w:rPr>
          <w:rFonts w:hint="eastAsia" w:asciiTheme="minorEastAsia" w:hAnsiTheme="minorEastAsia"/>
        </w:rPr>
        <w:t>高中阶段教育毕业生或具有同等学力者。</w:t>
      </w:r>
    </w:p>
    <w:p>
      <w:pPr>
        <w:pStyle w:val="2"/>
      </w:pPr>
      <w:bookmarkStart w:id="3" w:name="_Toc89793263"/>
      <w:r>
        <w:rPr>
          <w:rFonts w:hint="eastAsia"/>
        </w:rPr>
        <w:t>三、修业年限</w:t>
      </w:r>
      <w:bookmarkEnd w:id="3"/>
    </w:p>
    <w:p>
      <w:pPr>
        <w:ind w:firstLine="420" w:firstLineChars="200"/>
        <w:rPr>
          <w:rFonts w:asciiTheme="minorEastAsia" w:hAnsiTheme="minorEastAsia"/>
        </w:rPr>
      </w:pPr>
      <w:r>
        <w:rPr>
          <w:rFonts w:hint="eastAsia" w:asciiTheme="minorEastAsia" w:hAnsiTheme="minorEastAsia"/>
        </w:rPr>
        <w:t>基本学制3年，实行弹性学制，推行学分制。学习合格取得全日制普通高等学校专科学历。</w:t>
      </w:r>
    </w:p>
    <w:p>
      <w:pPr>
        <w:pStyle w:val="2"/>
      </w:pPr>
      <w:bookmarkStart w:id="4" w:name="_Toc89793264"/>
      <w:r>
        <w:rPr>
          <w:rFonts w:hint="eastAsia"/>
        </w:rPr>
        <w:t>四、职业面向</w:t>
      </w:r>
      <w:bookmarkEnd w:id="4"/>
    </w:p>
    <w:p>
      <w:pPr>
        <w:jc w:val="center"/>
        <w:rPr>
          <w:rFonts w:asciiTheme="minorEastAsia" w:hAnsiTheme="minorEastAsia"/>
        </w:rPr>
      </w:pPr>
      <w:r>
        <w:rPr>
          <w:rFonts w:hint="eastAsia" w:asciiTheme="minorEastAsia" w:hAnsiTheme="minorEastAsia"/>
        </w:rPr>
        <w:t>表1</w:t>
      </w:r>
      <w:r>
        <w:rPr>
          <w:rFonts w:asciiTheme="minorEastAsia" w:hAnsiTheme="minorEastAsia"/>
        </w:rPr>
        <w:t xml:space="preserve"> </w:t>
      </w:r>
      <w:r>
        <w:rPr>
          <w:rFonts w:hint="eastAsia" w:asciiTheme="minorEastAsia" w:hAnsiTheme="minorEastAsia"/>
        </w:rPr>
        <w:t>职业面向</w:t>
      </w:r>
    </w:p>
    <w:tbl>
      <w:tblPr>
        <w:tblStyle w:val="15"/>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76"/>
        <w:gridCol w:w="1065"/>
        <w:gridCol w:w="1356"/>
        <w:gridCol w:w="137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Theme="minorEastAsia" w:hAnsiTheme="minorEastAsia"/>
                <w:sz w:val="18"/>
                <w:szCs w:val="18"/>
              </w:rPr>
            </w:pPr>
            <w:r>
              <w:rPr>
                <w:rFonts w:hint="eastAsia" w:asciiTheme="minorEastAsia" w:hAnsiTheme="minorEastAsia"/>
                <w:sz w:val="18"/>
                <w:szCs w:val="18"/>
              </w:rPr>
              <w:t>所属专业大类（代码）</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所属专业类（代码）</w:t>
            </w:r>
          </w:p>
        </w:tc>
        <w:tc>
          <w:tcPr>
            <w:tcW w:w="1065" w:type="dxa"/>
            <w:vAlign w:val="center"/>
          </w:tcPr>
          <w:p>
            <w:pPr>
              <w:jc w:val="center"/>
              <w:rPr>
                <w:rFonts w:asciiTheme="minorEastAsia" w:hAnsiTheme="minorEastAsia"/>
                <w:sz w:val="18"/>
                <w:szCs w:val="18"/>
              </w:rPr>
            </w:pPr>
            <w:r>
              <w:rPr>
                <w:rFonts w:hint="eastAsia" w:asciiTheme="minorEastAsia" w:hAnsiTheme="minorEastAsia"/>
                <w:sz w:val="18"/>
                <w:szCs w:val="18"/>
              </w:rPr>
              <w:t>对应行业</w:t>
            </w:r>
          </w:p>
        </w:tc>
        <w:tc>
          <w:tcPr>
            <w:tcW w:w="1356" w:type="dxa"/>
            <w:vAlign w:val="center"/>
          </w:tcPr>
          <w:p>
            <w:pPr>
              <w:jc w:val="center"/>
              <w:rPr>
                <w:rFonts w:asciiTheme="minorEastAsia" w:hAnsiTheme="minorEastAsia"/>
                <w:sz w:val="18"/>
                <w:szCs w:val="18"/>
              </w:rPr>
            </w:pPr>
            <w:r>
              <w:rPr>
                <w:rFonts w:hint="eastAsia" w:asciiTheme="minorEastAsia" w:hAnsiTheme="minorEastAsia"/>
                <w:sz w:val="18"/>
                <w:szCs w:val="18"/>
              </w:rPr>
              <w:t>主要职业类别</w:t>
            </w:r>
          </w:p>
        </w:tc>
        <w:tc>
          <w:tcPr>
            <w:tcW w:w="1371" w:type="dxa"/>
            <w:vAlign w:val="center"/>
          </w:tcPr>
          <w:p>
            <w:pPr>
              <w:jc w:val="center"/>
              <w:rPr>
                <w:rFonts w:asciiTheme="minorEastAsia" w:hAnsiTheme="minorEastAsia"/>
                <w:sz w:val="18"/>
                <w:szCs w:val="18"/>
              </w:rPr>
            </w:pPr>
            <w:r>
              <w:rPr>
                <w:rFonts w:hint="eastAsia" w:asciiTheme="minorEastAsia" w:hAnsiTheme="minorEastAsia"/>
                <w:sz w:val="18"/>
                <w:szCs w:val="18"/>
              </w:rPr>
              <w:t>主要岗位类别或技术领域</w:t>
            </w:r>
          </w:p>
        </w:tc>
        <w:tc>
          <w:tcPr>
            <w:tcW w:w="2114" w:type="dxa"/>
            <w:vAlign w:val="center"/>
          </w:tcPr>
          <w:p>
            <w:pPr>
              <w:jc w:val="center"/>
              <w:rPr>
                <w:rFonts w:asciiTheme="minorEastAsia" w:hAnsiTheme="minorEastAsia"/>
                <w:sz w:val="18"/>
                <w:szCs w:val="18"/>
              </w:rPr>
            </w:pPr>
            <w:r>
              <w:rPr>
                <w:rFonts w:hint="eastAsia" w:asciiTheme="minorEastAsia" w:hAnsiTheme="minorEastAsia"/>
                <w:sz w:val="18"/>
                <w:szCs w:val="18"/>
              </w:rPr>
              <w:t>职业技能等级证书、社会认可度高的行业企业（人才）标准或证书举例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0" w:type="dxa"/>
            <w:vAlign w:val="center"/>
          </w:tcPr>
          <w:p>
            <w:pPr>
              <w:rPr>
                <w:rFonts w:asciiTheme="minorEastAsia" w:hAnsiTheme="minorEastAsia"/>
                <w:sz w:val="18"/>
                <w:szCs w:val="18"/>
              </w:rPr>
            </w:pPr>
            <w:r>
              <w:rPr>
                <w:rFonts w:asciiTheme="majorEastAsia" w:hAnsiTheme="majorEastAsia" w:eastAsiaTheme="majorEastAsia"/>
                <w:sz w:val="18"/>
                <w:szCs w:val="18"/>
              </w:rPr>
              <w:t>装备制造</w:t>
            </w:r>
            <w:r>
              <w:rPr>
                <w:rFonts w:hint="eastAsia" w:asciiTheme="majorEastAsia" w:hAnsiTheme="majorEastAsia" w:eastAsiaTheme="majorEastAsia"/>
                <w:sz w:val="18"/>
                <w:szCs w:val="18"/>
              </w:rPr>
              <w:t>大</w:t>
            </w:r>
            <w:r>
              <w:rPr>
                <w:rFonts w:asciiTheme="majorEastAsia" w:hAnsiTheme="majorEastAsia" w:eastAsiaTheme="majorEastAsia"/>
                <w:sz w:val="18"/>
                <w:szCs w:val="18"/>
              </w:rPr>
              <w:t>类（46）</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自动化类</w:t>
            </w:r>
          </w:p>
          <w:p>
            <w:pPr>
              <w:rPr>
                <w:rFonts w:asciiTheme="minorEastAsia" w:hAnsiTheme="minorEastAsia"/>
                <w:sz w:val="18"/>
                <w:szCs w:val="18"/>
              </w:rPr>
            </w:pPr>
            <w:r>
              <w:rPr>
                <w:rFonts w:asciiTheme="majorEastAsia" w:hAnsiTheme="majorEastAsia" w:eastAsiaTheme="majorEastAsia"/>
                <w:sz w:val="18"/>
                <w:szCs w:val="18"/>
              </w:rPr>
              <w:t>（4603）</w:t>
            </w:r>
          </w:p>
        </w:tc>
        <w:tc>
          <w:tcPr>
            <w:tcW w:w="1065"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1.通用设备制造业（C34）</w:t>
            </w:r>
          </w:p>
          <w:p>
            <w:pPr>
              <w:rPr>
                <w:rFonts w:asciiTheme="minorEastAsia" w:hAnsiTheme="minorEastAsia"/>
                <w:sz w:val="18"/>
                <w:szCs w:val="18"/>
              </w:rPr>
            </w:pPr>
            <w:r>
              <w:rPr>
                <w:rFonts w:asciiTheme="majorEastAsia" w:hAnsiTheme="majorEastAsia" w:eastAsiaTheme="majorEastAsia"/>
                <w:sz w:val="18"/>
                <w:szCs w:val="18"/>
              </w:rPr>
              <w:t>2.金属制品、机械和设备修业（C43）</w:t>
            </w:r>
          </w:p>
        </w:tc>
        <w:tc>
          <w:tcPr>
            <w:tcW w:w="135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1.通用设备制造人员（6-20）</w:t>
            </w:r>
          </w:p>
          <w:p>
            <w:pPr>
              <w:rPr>
                <w:rFonts w:asciiTheme="minorEastAsia" w:hAnsiTheme="minorEastAsia"/>
                <w:sz w:val="18"/>
                <w:szCs w:val="18"/>
              </w:rPr>
            </w:pPr>
            <w:r>
              <w:rPr>
                <w:rFonts w:asciiTheme="majorEastAsia" w:hAnsiTheme="majorEastAsia" w:eastAsiaTheme="majorEastAsia"/>
                <w:sz w:val="18"/>
                <w:szCs w:val="18"/>
              </w:rPr>
              <w:t>2.电气机械和器材制造人员（6-24）</w:t>
            </w:r>
          </w:p>
        </w:tc>
        <w:tc>
          <w:tcPr>
            <w:tcW w:w="1371"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w:t>
            </w:r>
            <w:r>
              <w:rPr>
                <w:rFonts w:hint="eastAsia" w:asciiTheme="majorEastAsia" w:hAnsiTheme="majorEastAsia" w:eastAsiaTheme="majorEastAsia"/>
                <w:sz w:val="18"/>
                <w:szCs w:val="18"/>
              </w:rPr>
              <w:t>自动化控制设备程序设计员</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电气控制电路接线员</w:t>
            </w:r>
          </w:p>
          <w:p>
            <w:pPr>
              <w:rPr>
                <w:rFonts w:asciiTheme="minorEastAsia" w:hAnsiTheme="minorEastAsia"/>
                <w:sz w:val="18"/>
                <w:szCs w:val="18"/>
              </w:rPr>
            </w:pPr>
            <w:r>
              <w:rPr>
                <w:rFonts w:asciiTheme="majorEastAsia" w:hAnsiTheme="majorEastAsia" w:eastAsiaTheme="majorEastAsia"/>
                <w:sz w:val="18"/>
                <w:szCs w:val="18"/>
              </w:rPr>
              <w:t>3.</w:t>
            </w:r>
            <w:r>
              <w:rPr>
                <w:rFonts w:hint="eastAsia" w:asciiTheme="majorEastAsia" w:hAnsiTheme="majorEastAsia" w:eastAsiaTheme="majorEastAsia"/>
                <w:sz w:val="18"/>
                <w:szCs w:val="18"/>
              </w:rPr>
              <w:t>自动生产线安装、调试、维护保养工作人员</w:t>
            </w:r>
          </w:p>
        </w:tc>
        <w:tc>
          <w:tcPr>
            <w:tcW w:w="2114"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1.维修电工（中级）</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电工上岗证</w:t>
            </w:r>
          </w:p>
          <w:p>
            <w:pPr>
              <w:rPr>
                <w:rFonts w:asciiTheme="minorEastAsia" w:hAnsiTheme="minorEastAsia"/>
                <w:sz w:val="18"/>
                <w:szCs w:val="18"/>
              </w:rPr>
            </w:pPr>
            <w:r>
              <w:rPr>
                <w:rFonts w:hint="eastAsia" w:asciiTheme="majorEastAsia" w:hAnsiTheme="majorEastAsia" w:eastAsiaTheme="majorEastAsia"/>
                <w:sz w:val="18"/>
                <w:szCs w:val="18"/>
              </w:rPr>
              <w:t>3.计算机绘图员</w:t>
            </w:r>
          </w:p>
        </w:tc>
      </w:tr>
    </w:tbl>
    <w:p>
      <w:pPr>
        <w:pStyle w:val="2"/>
      </w:pPr>
      <w:bookmarkStart w:id="5" w:name="_Toc89793265"/>
      <w:r>
        <w:rPr>
          <w:rFonts w:hint="eastAsia"/>
        </w:rPr>
        <w:t>五、培养目标与培养规格</w:t>
      </w:r>
      <w:bookmarkEnd w:id="5"/>
    </w:p>
    <w:p>
      <w:pPr>
        <w:pStyle w:val="3"/>
      </w:pPr>
      <w:bookmarkStart w:id="6" w:name="_Toc89793266"/>
      <w:r>
        <w:rPr>
          <w:rFonts w:hint="eastAsia"/>
        </w:rPr>
        <w:t>（一）培养目标</w:t>
      </w:r>
      <w:bookmarkEnd w:id="6"/>
    </w:p>
    <w:p>
      <w:pPr>
        <w:ind w:firstLine="420"/>
        <w:rPr>
          <w:rFonts w:asciiTheme="minorEastAsia" w:hAnsiTheme="minorEastAsia"/>
        </w:rPr>
      </w:pPr>
      <w:r>
        <w:rPr>
          <w:rFonts w:hint="eastAsia" w:asciiTheme="minorEastAsia" w:hAnsiTheme="minorEastAsia"/>
        </w:rPr>
        <w:t>本专业以立德树人为根本任务，推进思政课程与课程思政同向同行，培养思想政治坚定、德智体美劳全面发展，具有社会主义核心价值观和家国情怀，具备一定科学文化水平，良好的人文素养、职业道德和创新意识，精益求精的工匠精神，较强的就业能力和可持续发展能力，适应新形势下产业转型升级，紧跟社会发展、紧跟经济建设、紧跟粤港澳大湾区发展需要，掌握机电一体化专业知识，熟悉</w:t>
      </w:r>
      <w:r>
        <w:rPr>
          <w:rFonts w:hint="eastAsia" w:asciiTheme="majorEastAsia" w:hAnsiTheme="majorEastAsia" w:eastAsiaTheme="majorEastAsia"/>
        </w:rPr>
        <w:t>机电一体化技术</w:t>
      </w:r>
      <w:r>
        <w:rPr>
          <w:rFonts w:hint="eastAsia" w:asciiTheme="minorEastAsia" w:hAnsiTheme="minorEastAsia"/>
        </w:rPr>
        <w:t>技能，能够在</w:t>
      </w:r>
      <w:r>
        <w:rPr>
          <w:rFonts w:hint="eastAsia" w:asciiTheme="majorEastAsia" w:hAnsiTheme="majorEastAsia" w:eastAsiaTheme="majorEastAsia"/>
        </w:rPr>
        <w:t>生产、建设、管理、服务</w:t>
      </w:r>
      <w:r>
        <w:rPr>
          <w:rFonts w:hint="eastAsia" w:asciiTheme="minorEastAsia" w:hAnsiTheme="minorEastAsia"/>
        </w:rPr>
        <w:t>等领域，从事</w:t>
      </w:r>
      <w:r>
        <w:rPr>
          <w:rFonts w:hint="eastAsia" w:asciiTheme="majorEastAsia" w:hAnsiTheme="majorEastAsia" w:eastAsiaTheme="majorEastAsia"/>
        </w:rPr>
        <w:t>普通机床操作、数控机床的操作与编程、机电产品设计与工艺的设计、车间的现场管理、机电产品的销售与售后服务，完成自动化生产设备与自动生产线的安装、调试、维护保养</w:t>
      </w:r>
      <w:r>
        <w:rPr>
          <w:rFonts w:hint="eastAsia" w:asciiTheme="minorEastAsia" w:hAnsiTheme="minorEastAsia"/>
        </w:rPr>
        <w:t>等工作的复合型技术技能人才。</w:t>
      </w:r>
    </w:p>
    <w:p>
      <w:pPr>
        <w:pStyle w:val="3"/>
      </w:pPr>
      <w:bookmarkStart w:id="7" w:name="_Toc89793267"/>
      <w:r>
        <w:rPr>
          <w:rFonts w:hint="eastAsia"/>
        </w:rPr>
        <w:t>（二）培养规格</w:t>
      </w:r>
      <w:bookmarkEnd w:id="7"/>
    </w:p>
    <w:p>
      <w:pPr>
        <w:pStyle w:val="4"/>
        <w:spacing w:before="234" w:after="234"/>
        <w:ind w:left="420"/>
      </w:pPr>
      <w:bookmarkStart w:id="8" w:name="_Toc89793268"/>
      <w:r>
        <w:rPr>
          <w:rFonts w:hint="eastAsia"/>
        </w:rPr>
        <w:t>1.素质要求</w:t>
      </w:r>
      <w:bookmarkEnd w:id="8"/>
    </w:p>
    <w:p>
      <w:pPr>
        <w:ind w:firstLine="420"/>
        <w:rPr>
          <w:rFonts w:asciiTheme="minorEastAsia" w:hAnsiTheme="minorEastAsia"/>
        </w:rPr>
      </w:pPr>
      <w:r>
        <w:rPr>
          <w:rFonts w:hint="eastAsia" w:asciiTheme="minorEastAsia" w:hAnsiTheme="minorEastAsia"/>
        </w:rPr>
        <w:t>1.1坚定拥护中国共产党领导和我国社会主义制度，在习近平新时代中国特色社会主义思想指引下，践行社会主义核心价值观、具有深厚的爱国情感和中华民族自豪感。</w:t>
      </w:r>
    </w:p>
    <w:p>
      <w:pPr>
        <w:ind w:firstLine="420"/>
        <w:rPr>
          <w:rFonts w:asciiTheme="minorEastAsia" w:hAnsiTheme="minorEastAsia"/>
        </w:rPr>
      </w:pPr>
      <w:r>
        <w:rPr>
          <w:rFonts w:hint="eastAsia" w:asciiTheme="minorEastAsia" w:hAnsiTheme="minorEastAsia"/>
        </w:rPr>
        <w:t>1.2崇尚宪法、尊法守纪、崇德向善、诚实守信、尊重生命、热爱劳动、履行道德准则和行为规范，具有社会责任感和社会参与意识。</w:t>
      </w:r>
    </w:p>
    <w:p>
      <w:pPr>
        <w:ind w:firstLine="420"/>
        <w:rPr>
          <w:rFonts w:asciiTheme="minorEastAsia" w:hAnsiTheme="minorEastAsia"/>
        </w:rPr>
      </w:pPr>
      <w:r>
        <w:rPr>
          <w:rFonts w:hint="eastAsia" w:asciiTheme="minorEastAsia" w:hAnsiTheme="minorEastAsia"/>
        </w:rPr>
        <w:t>1.3具有质量意识、绿色环保意识、安全意识、信息素养、创新思维和创新精神。</w:t>
      </w:r>
    </w:p>
    <w:p>
      <w:pPr>
        <w:ind w:firstLine="420"/>
        <w:rPr>
          <w:rFonts w:asciiTheme="minorEastAsia" w:hAnsiTheme="minorEastAsia"/>
        </w:rPr>
      </w:pPr>
      <w:r>
        <w:rPr>
          <w:rFonts w:hint="eastAsia" w:asciiTheme="minorEastAsia" w:hAnsiTheme="minorEastAsia"/>
        </w:rPr>
        <w:t>1.4勇于奋斗、乐观向上、具有自我管理能力、职业生涯规划的意识、精益求精的工匠精神、较强的集体意识和团队合作精神。</w:t>
      </w:r>
    </w:p>
    <w:p>
      <w:pPr>
        <w:ind w:firstLine="420"/>
        <w:rPr>
          <w:rFonts w:asciiTheme="minorEastAsia" w:hAnsiTheme="minorEastAsia"/>
        </w:rPr>
      </w:pPr>
      <w:r>
        <w:rPr>
          <w:rFonts w:hint="eastAsia" w:asciiTheme="minorEastAsia" w:hAnsiTheme="minorEastAsia"/>
        </w:rPr>
        <w:t>1.5具有健康的体魄和心理、健全的人格，能够掌握基本运动知识和1—2项运动技能，养成良好的生活习惯和行为习惯。</w:t>
      </w:r>
    </w:p>
    <w:p>
      <w:pPr>
        <w:ind w:firstLine="420"/>
        <w:rPr>
          <w:rFonts w:asciiTheme="minorEastAsia" w:hAnsiTheme="minorEastAsia"/>
        </w:rPr>
      </w:pPr>
      <w:r>
        <w:rPr>
          <w:rFonts w:hint="eastAsia" w:asciiTheme="minorEastAsia" w:hAnsiTheme="minorEastAsia"/>
        </w:rPr>
        <w:t>1.6具有感受美、表现美、鉴赏美、创造美的能力，具有一定的审美和人文素养，能够形成1—2项艺术特长或爱好。</w:t>
      </w:r>
    </w:p>
    <w:p>
      <w:pPr>
        <w:pStyle w:val="4"/>
        <w:spacing w:before="234" w:after="234"/>
        <w:ind w:left="420"/>
      </w:pPr>
      <w:bookmarkStart w:id="9" w:name="_Toc89793269"/>
      <w:r>
        <w:t>2.</w:t>
      </w:r>
      <w:r>
        <w:rPr>
          <w:rFonts w:hint="eastAsia"/>
        </w:rPr>
        <w:t>知识要求</w:t>
      </w:r>
      <w:bookmarkEnd w:id="9"/>
    </w:p>
    <w:p>
      <w:pPr>
        <w:ind w:firstLine="420" w:firstLineChars="200"/>
        <w:rPr>
          <w:rFonts w:asciiTheme="minorEastAsia" w:hAnsiTheme="minorEastAsia"/>
        </w:rPr>
      </w:pPr>
      <w:r>
        <w:rPr>
          <w:rFonts w:hint="eastAsia" w:asciiTheme="minorEastAsia" w:hAnsiTheme="minorEastAsia"/>
        </w:rPr>
        <w:t>2</w:t>
      </w:r>
      <w:r>
        <w:rPr>
          <w:rFonts w:asciiTheme="minorEastAsia" w:hAnsiTheme="minorEastAsia"/>
        </w:rPr>
        <w:t>.1</w:t>
      </w:r>
      <w:r>
        <w:rPr>
          <w:rFonts w:hint="eastAsia" w:asciiTheme="minorEastAsia" w:hAnsiTheme="minorEastAsia"/>
        </w:rPr>
        <w:t>掌握本专业必需的语言文字表达、写作方面基本知识。</w:t>
      </w:r>
    </w:p>
    <w:p>
      <w:pPr>
        <w:ind w:firstLine="420" w:firstLineChars="200"/>
        <w:rPr>
          <w:rFonts w:asciiTheme="minorEastAsia" w:hAnsiTheme="minorEastAsia"/>
        </w:rPr>
      </w:pPr>
      <w:r>
        <w:rPr>
          <w:rFonts w:hint="eastAsia" w:asciiTheme="minorEastAsia" w:hAnsiTheme="minorEastAsia"/>
        </w:rPr>
        <w:t>2.2</w:t>
      </w:r>
      <w:r>
        <w:rPr>
          <w:rFonts w:asciiTheme="minorEastAsia" w:hAnsiTheme="minorEastAsia"/>
        </w:rPr>
        <w:t>掌握本专业必需的机械、电气、液压、气动、自动控制等方面的基本知识；</w:t>
      </w:r>
    </w:p>
    <w:p>
      <w:pPr>
        <w:ind w:firstLine="420" w:firstLineChars="200"/>
        <w:rPr>
          <w:rFonts w:asciiTheme="minorEastAsia" w:hAnsiTheme="minorEastAsia"/>
        </w:rPr>
      </w:pPr>
      <w:r>
        <w:rPr>
          <w:rFonts w:hint="eastAsia" w:asciiTheme="minorEastAsia" w:hAnsiTheme="minorEastAsia"/>
        </w:rPr>
        <w:t>2.3掌握机械图及电气图的识图和绘图能力；</w:t>
      </w:r>
    </w:p>
    <w:p>
      <w:pPr>
        <w:ind w:firstLine="420" w:firstLineChars="200"/>
        <w:rPr>
          <w:rFonts w:asciiTheme="minorEastAsia" w:hAnsiTheme="minorEastAsia"/>
        </w:rPr>
      </w:pPr>
      <w:r>
        <w:rPr>
          <w:rFonts w:hint="eastAsia" w:asciiTheme="minorEastAsia" w:hAnsiTheme="minorEastAsia"/>
        </w:rPr>
        <w:t>2.4</w:t>
      </w:r>
      <w:r>
        <w:rPr>
          <w:rFonts w:asciiTheme="minorEastAsia" w:hAnsiTheme="minorEastAsia"/>
        </w:rPr>
        <w:t>掌握电工电子技术</w:t>
      </w:r>
      <w:r>
        <w:rPr>
          <w:rFonts w:hint="eastAsia" w:asciiTheme="minorEastAsia" w:hAnsiTheme="minorEastAsia"/>
        </w:rPr>
        <w:t>、</w:t>
      </w:r>
      <w:r>
        <w:rPr>
          <w:rFonts w:asciiTheme="minorEastAsia" w:hAnsiTheme="minorEastAsia"/>
        </w:rPr>
        <w:t>单片机及PLC技术等方面的基本知识；</w:t>
      </w:r>
    </w:p>
    <w:p>
      <w:pPr>
        <w:ind w:firstLine="420" w:firstLineChars="200"/>
        <w:rPr>
          <w:rFonts w:asciiTheme="minorEastAsia" w:hAnsiTheme="minorEastAsia"/>
        </w:rPr>
      </w:pPr>
      <w:r>
        <w:rPr>
          <w:rFonts w:hint="eastAsia" w:asciiTheme="minorEastAsia" w:hAnsiTheme="minorEastAsia"/>
        </w:rPr>
        <w:t>2.5自动生产线的安装、维修及使用能力</w:t>
      </w:r>
      <w:r>
        <w:rPr>
          <w:rFonts w:asciiTheme="minorEastAsia" w:hAnsiTheme="minorEastAsia"/>
        </w:rPr>
        <w:t>；</w:t>
      </w:r>
    </w:p>
    <w:p>
      <w:pPr>
        <w:ind w:firstLine="420" w:firstLineChars="200"/>
        <w:rPr>
          <w:rFonts w:asciiTheme="minorEastAsia" w:hAnsiTheme="minorEastAsia"/>
        </w:rPr>
      </w:pPr>
      <w:r>
        <w:rPr>
          <w:rFonts w:hint="eastAsia" w:asciiTheme="minorEastAsia" w:hAnsiTheme="minorEastAsia"/>
        </w:rPr>
        <w:t>2.6</w:t>
      </w:r>
      <w:r>
        <w:rPr>
          <w:rFonts w:asciiTheme="minorEastAsia" w:hAnsiTheme="minorEastAsia"/>
        </w:rPr>
        <w:t>掌握工业机器人系统功能、结构、安装、参数设置。</w:t>
      </w:r>
    </w:p>
    <w:p>
      <w:pPr>
        <w:ind w:firstLine="420" w:firstLineChars="200"/>
        <w:rPr>
          <w:rFonts w:asciiTheme="minorEastAsia" w:hAnsiTheme="minorEastAsia"/>
          <w:color w:val="FF0000"/>
        </w:rPr>
      </w:pPr>
    </w:p>
    <w:p>
      <w:pPr>
        <w:pStyle w:val="4"/>
        <w:spacing w:before="234" w:after="234"/>
        <w:ind w:left="420"/>
      </w:pPr>
      <w:bookmarkStart w:id="10" w:name="_Toc89793270"/>
      <w:r>
        <w:rPr>
          <w:rFonts w:hint="eastAsia"/>
        </w:rPr>
        <w:t>3.能力要求</w:t>
      </w:r>
      <w:bookmarkEnd w:id="10"/>
    </w:p>
    <w:p>
      <w:pPr>
        <w:ind w:firstLine="420" w:firstLineChars="200"/>
        <w:rPr>
          <w:rFonts w:asciiTheme="minorEastAsia" w:hAnsiTheme="minorEastAsia"/>
        </w:rPr>
      </w:pPr>
      <w:r>
        <w:rPr>
          <w:rFonts w:hint="eastAsia" w:asciiTheme="minorEastAsia" w:hAnsiTheme="minorEastAsia"/>
        </w:rPr>
        <w:t>3.1具有岗位工作中必需的撰写计划、报告、总结及业务文件能力。</w:t>
      </w:r>
    </w:p>
    <w:p>
      <w:pPr>
        <w:ind w:firstLine="420" w:firstLineChars="200"/>
        <w:rPr>
          <w:rFonts w:asciiTheme="minorEastAsia" w:hAnsiTheme="minorEastAsia"/>
        </w:rPr>
      </w:pPr>
      <w:r>
        <w:rPr>
          <w:rFonts w:hint="eastAsia" w:asciiTheme="minorEastAsia" w:hAnsiTheme="minorEastAsia"/>
        </w:rPr>
        <w:t>3.2具备运用机电一体化技术专业领域所需的基础数学、外语和工程知识的能力。</w:t>
      </w:r>
    </w:p>
    <w:p>
      <w:pPr>
        <w:ind w:firstLine="420" w:firstLineChars="200"/>
        <w:rPr>
          <w:rFonts w:asciiTheme="minorEastAsia" w:hAnsiTheme="minorEastAsia"/>
        </w:rPr>
      </w:pPr>
      <w:r>
        <w:rPr>
          <w:rFonts w:hint="eastAsia" w:asciiTheme="minorEastAsia" w:hAnsiTheme="minorEastAsia"/>
        </w:rPr>
        <w:t>3.3具备判断、排除机电设备故障和维护现场机电设备的能力。</w:t>
      </w:r>
    </w:p>
    <w:p>
      <w:pPr>
        <w:ind w:firstLine="420" w:firstLineChars="200"/>
        <w:rPr>
          <w:rFonts w:asciiTheme="minorEastAsia" w:hAnsiTheme="minorEastAsia"/>
        </w:rPr>
      </w:pPr>
      <w:r>
        <w:rPr>
          <w:rFonts w:hint="eastAsia" w:asciiTheme="minorEastAsia" w:hAnsiTheme="minorEastAsia"/>
        </w:rPr>
        <w:t>3.4具备有效沟通、团队合作和归纳总结的能力。</w:t>
      </w:r>
    </w:p>
    <w:p>
      <w:pPr>
        <w:ind w:firstLine="420" w:firstLineChars="200"/>
        <w:rPr>
          <w:rFonts w:asciiTheme="minorEastAsia" w:hAnsiTheme="minorEastAsia"/>
        </w:rPr>
      </w:pPr>
      <w:r>
        <w:rPr>
          <w:rFonts w:hint="eastAsia" w:asciiTheme="minorEastAsia" w:hAnsiTheme="minorEastAsia"/>
        </w:rPr>
        <w:t>3.5具备一定的设计机电产品的能力。</w:t>
      </w:r>
    </w:p>
    <w:p>
      <w:pPr>
        <w:ind w:firstLine="420" w:firstLineChars="200"/>
        <w:rPr>
          <w:rFonts w:asciiTheme="minorEastAsia" w:hAnsiTheme="minorEastAsia"/>
        </w:rPr>
      </w:pPr>
      <w:r>
        <w:rPr>
          <w:rFonts w:hint="eastAsia" w:asciiTheme="minorEastAsia" w:hAnsiTheme="minorEastAsia"/>
        </w:rPr>
        <w:t>3.6具备成本和创新意识，具有持续学习机电一体化技术专业领域新技术、新方法、新工艺和新技能的能力。</w:t>
      </w:r>
    </w:p>
    <w:p>
      <w:pPr>
        <w:ind w:firstLine="420" w:firstLineChars="200"/>
        <w:rPr>
          <w:rFonts w:asciiTheme="minorEastAsia" w:hAnsiTheme="minorEastAsia"/>
        </w:rPr>
      </w:pPr>
      <w:r>
        <w:rPr>
          <w:rFonts w:hint="eastAsia" w:asciiTheme="minorEastAsia" w:hAnsiTheme="minorEastAsia"/>
        </w:rPr>
        <w:t>3.</w:t>
      </w:r>
      <w:r>
        <w:rPr>
          <w:rFonts w:asciiTheme="minorEastAsia" w:hAnsiTheme="minorEastAsia"/>
        </w:rPr>
        <w:t>7</w:t>
      </w:r>
      <w:r>
        <w:rPr>
          <w:rFonts w:hint="eastAsia" w:asciiTheme="minorEastAsia" w:hAnsiTheme="minorEastAsia"/>
        </w:rPr>
        <w:t>理解及遵守机电行业伦理及职业操守，认知社会责任及尊重多元观点。</w:t>
      </w:r>
    </w:p>
    <w:p>
      <w:pPr>
        <w:ind w:firstLine="420" w:firstLineChars="200"/>
        <w:rPr>
          <w:rFonts w:asciiTheme="minorEastAsia" w:hAnsiTheme="minorEastAsia"/>
        </w:rPr>
      </w:pPr>
    </w:p>
    <w:p>
      <w:pPr>
        <w:pStyle w:val="2"/>
      </w:pPr>
      <w:bookmarkStart w:id="11" w:name="_Toc89793271"/>
      <w:r>
        <w:rPr>
          <w:rFonts w:hint="eastAsia"/>
        </w:rPr>
        <w:t>六、课程设置及要求</w:t>
      </w:r>
      <w:bookmarkEnd w:id="11"/>
    </w:p>
    <w:p>
      <w:pPr>
        <w:ind w:firstLine="420" w:firstLineChars="200"/>
      </w:pPr>
      <w:r>
        <w:rPr>
          <w:rFonts w:hint="eastAsia"/>
        </w:rPr>
        <w:t>课程包括公共基础课程和专业（技能）课程。</w:t>
      </w:r>
    </w:p>
    <w:p>
      <w:pPr>
        <w:pStyle w:val="3"/>
      </w:pPr>
      <w:bookmarkStart w:id="12" w:name="_Toc89793272"/>
      <w:r>
        <w:rPr>
          <w:rFonts w:hint="eastAsia"/>
        </w:rPr>
        <w:t>（一）公共基础课程</w:t>
      </w:r>
      <w:bookmarkEnd w:id="12"/>
    </w:p>
    <w:p>
      <w:pPr>
        <w:ind w:firstLine="420" w:firstLineChars="200"/>
      </w:pPr>
      <w:r>
        <w:rPr>
          <w:rFonts w:hint="eastAsia"/>
        </w:rPr>
        <w:t>公共基础课程分为公共必修课、公共选修课、限定选修课。</w:t>
      </w:r>
    </w:p>
    <w:p>
      <w:pPr>
        <w:pStyle w:val="4"/>
        <w:spacing w:before="234" w:after="234"/>
        <w:ind w:left="420"/>
      </w:pPr>
      <w:bookmarkStart w:id="13" w:name="_Toc89793273"/>
      <w:r>
        <w:rPr>
          <w:rFonts w:hint="eastAsia"/>
        </w:rPr>
        <w:t>1.公共必修课</w:t>
      </w:r>
      <w:bookmarkEnd w:id="13"/>
    </w:p>
    <w:p>
      <w:pPr>
        <w:ind w:firstLine="420" w:firstLineChars="200"/>
      </w:pPr>
      <w:r>
        <w:rPr>
          <w:rFonts w:hint="eastAsia"/>
        </w:rPr>
        <w:t>本专业开设的公共必修课见表2。</w:t>
      </w:r>
    </w:p>
    <w:p>
      <w:pPr>
        <w:jc w:val="center"/>
        <w:rPr>
          <w:rFonts w:asciiTheme="minorEastAsia" w:hAnsiTheme="minorEastAsia"/>
        </w:rPr>
      </w:pPr>
      <w:r>
        <w:rPr>
          <w:rFonts w:hint="eastAsia" w:asciiTheme="minorEastAsia" w:hAnsiTheme="minorEastAsia"/>
        </w:rPr>
        <w:t>表2</w:t>
      </w:r>
      <w:r>
        <w:rPr>
          <w:rFonts w:asciiTheme="minorEastAsia" w:hAnsiTheme="minorEastAsia"/>
        </w:rPr>
        <w:t xml:space="preserve"> </w:t>
      </w:r>
      <w:r>
        <w:rPr>
          <w:rFonts w:hint="eastAsia" w:asciiTheme="minorEastAsia" w:hAnsiTheme="minorEastAsia"/>
        </w:rPr>
        <w:t>公共必修课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毛泽东思想和中国特色社会主义理论体系概论</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4.0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72</w:t>
            </w:r>
          </w:p>
          <w:p>
            <w:pPr>
              <w:jc w:val="center"/>
              <w:rPr>
                <w:rFonts w:asciiTheme="minorEastAsia" w:hAnsiTheme="minorEastAsia"/>
                <w:sz w:val="18"/>
                <w:szCs w:val="18"/>
              </w:rPr>
            </w:pPr>
            <w:r>
              <w:rPr>
                <w:rFonts w:hint="eastAsia" w:asciiTheme="minorEastAsia" w:hAnsiTheme="minorEastAsia"/>
                <w:sz w:val="18"/>
                <w:szCs w:val="18"/>
              </w:rPr>
              <w:t>其中理论52，实践20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1.课程的教学内容主要包括中国共产党把马克思主义基本原理同中国具体实际相结合产生的马克思主义中国化的两大理论成果。</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2</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思想道德修养与法治</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4.0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72</w:t>
            </w:r>
          </w:p>
          <w:p>
            <w:pPr>
              <w:jc w:val="center"/>
              <w:rPr>
                <w:rFonts w:asciiTheme="minorEastAsia" w:hAnsiTheme="minorEastAsia"/>
                <w:sz w:val="18"/>
                <w:szCs w:val="18"/>
              </w:rPr>
            </w:pPr>
            <w:r>
              <w:rPr>
                <w:rFonts w:hint="eastAsia" w:asciiTheme="minorEastAsia" w:hAnsiTheme="minorEastAsia"/>
                <w:sz w:val="18"/>
                <w:szCs w:val="18"/>
              </w:rPr>
              <w:t>其中理论52，实践20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树立正确的人生观、价值观、道德观、法治观，筑牢理想信念之基，培育和践行社会主义核心价值观，传承中华传统美德，弘扬中国精神，尊重和维护宪法法律权威，提升思想道德素质和法治素养。</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1.课程的教学内容主要包括马克思主义的人生观、价值观、道德观、法治观，社会主义核心价值观与社会主义法治建设的关系。</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形势与政策</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40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1.课程的教学内容主要包括党的理论创新最新成果，新时代坚持和发展中国特色社会主义的生动实践，马克思主义形势观政策管、党的陆续方针政策、基本国情、国内外形势及其热点难点问题。</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马克思主义中国化进程与青年使命担当</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通过课程的学习，帮助学生认清马克思主义在不同时期的具体形态；强化学生使命担当；深化对习近平新时代中国特色社会主义思想理解。</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19世纪科学社会主义的创立与青年使命；五四精神与当代青年使命；新中国建立、社会主义建设与青年使命；改革开放时代与青年使命；中国特色社会主义新时代与时代新人；中国共产党领导与青年的政治使命等。</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中国共产党简史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从党的非凡历程中领会马克思主义是如何深刻改变中国、改变世界的，感悟马克思主义的真理力量和实践力量，深化对中国化马克思主义既一脉相承又与时俱进的理论品质的认识，认识党和国家事业取得历史性成就、发生历史性变革的进程，深刻学习领会新时代党的创新理论，坚持不懈用党的创新理论最新成果武装头脑、指导实践、推动工作，坚定“四个自信”、增强“四个意识”，做到“两个维护”。</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1.课程的教学内容主要围绕介绍中国共产党的成立至中华人民共和国成立时期，党的奋斗历程和伟大成就，用党的光荣传统和优良作风坚定信念、凝聚力量，用党的实践创造和历史经验启迪智慧、砥砺品格。</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军事理论</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通过军事课教学，让学生了解掌握军事基础知识和基本军事技能，增强国防观念、国家安全意识和忧患危机意识，弘扬爱国主义精神、传承红色基因、提高学生综合国防素质。</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1.课程的教学内容主要包括国防概述、国防法规、国防建设、国家安全形势等。</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军事技能</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112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通过基本的军事训练，培养学生服从协作、刻苦坚强的精神和良好的组织性、纪律性以及集体观念。通过入学教育使学生了解学院的规章制度，了解专业背景和所学专业。</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1.课程的教学内容包括军事技能训练、入学教育及专业认知等。</w:t>
            </w:r>
          </w:p>
          <w:p>
            <w:pPr>
              <w:rPr>
                <w:rFonts w:asciiTheme="minorEastAsia" w:hAnsiTheme="minorEastAsia"/>
                <w:sz w:val="18"/>
                <w:szCs w:val="18"/>
              </w:rPr>
            </w:pPr>
            <w:r>
              <w:rPr>
                <w:rFonts w:hint="eastAsia" w:asciiTheme="minorEastAsia" w:hAnsiTheme="minorEastAsia"/>
                <w:sz w:val="18"/>
                <w:szCs w:val="18"/>
              </w:rPr>
              <w:t>2.军事技能训练原则上在新生报到后集中进行。</w:t>
            </w:r>
          </w:p>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军事技能训练考核分项目进行考核并严格考勤考核制度，实施过程化评价。军训教官由承训部队选派。</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大学生心理健康教育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其中理论8，实践28</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通过课程的学习，提高大学生的心理素质，充分开发大学生的潜能，培养大学生乐观向上的心理品质，促进大学生人格的健全发展。</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1.课程的教学内容主要包括大学生心理健康的标准，保持心理健康的途径，如何适应新的环境，如何处理学业困境，如何完善自我并实现自己的人生理想和目标，以及心理障碍的有关概念及求助途径等。</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9</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大学生职业发展与就业指导</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其中理论24，实践12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通过课程的学习，使学生正确了解职业生涯规划的重要意义，掌握系统职业生涯规划的方式方法，能够认清自我、解读职业、准确定位、锁定目标对职业发展进行正确规划。</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1.课程的教学内容主要包括职业生涯规划相关理论、职业生涯规划方式方法、自我认知、职业认知等。</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创新创业理论与方法</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其中理论24，实践12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通过课程的学习，让学生掌握创新创业的理论与方法，培育学生创新思维，激发学生会创新意识，培养学生创业精神，锻炼学生创业能力。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1.课程的教学内容主要包括创新创业精神，创新创业的理论与方法，创新思维方式，创新思维障碍，创新思维案例等。</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创新创业实践</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通过课程的学习，让学生构建创新思维模型，结合专业进行创新创业实践应用，完成基础创新创业训练。</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1.课程的教学内容主要包括参加创新创业项目等各类相关活动，通过实际项目的训练，培养创新意识和创造能力。</w:t>
            </w:r>
          </w:p>
          <w:p>
            <w:pPr>
              <w:rPr>
                <w:rFonts w:asciiTheme="minorEastAsia" w:hAnsiTheme="minorEastAsia"/>
                <w:sz w:val="18"/>
                <w:szCs w:val="18"/>
              </w:rPr>
            </w:pPr>
            <w:r>
              <w:rPr>
                <w:rFonts w:hint="eastAsia" w:asciiTheme="minorEastAsia" w:hAnsiTheme="minorEastAsia"/>
                <w:sz w:val="18"/>
                <w:szCs w:val="18"/>
              </w:rPr>
              <w:t>2.课程教学以实践教学为主，鼓励学生自主参加各类创新创业活动。</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12</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体育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5.0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108</w:t>
            </w:r>
          </w:p>
          <w:p>
            <w:pPr>
              <w:jc w:val="center"/>
              <w:rPr>
                <w:rFonts w:asciiTheme="minorEastAsia" w:hAnsiTheme="minorEastAsia"/>
                <w:sz w:val="18"/>
                <w:szCs w:val="18"/>
              </w:rPr>
            </w:pPr>
            <w:r>
              <w:rPr>
                <w:rFonts w:hint="eastAsia" w:asciiTheme="minorEastAsia" w:hAnsiTheme="minorEastAsia"/>
                <w:sz w:val="18"/>
                <w:szCs w:val="18"/>
              </w:rPr>
              <w:t>其中理论8，实践100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通过课程的学习，培养学生积极参与体育健身的意识，掌握适合个人特点的运动健身技能，使学生成为道德健康、精神健康、身体健康和有良好社会适应能力的合格人才。</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1.课程的教学内容主要包括体育健身的基本理论知识，运动健身的基本技术、技能和方法等。</w:t>
            </w:r>
          </w:p>
          <w:p>
            <w:pPr>
              <w:rPr>
                <w:rFonts w:asciiTheme="minorEastAsia" w:hAnsiTheme="minorEastAsia"/>
                <w:sz w:val="18"/>
                <w:szCs w:val="18"/>
              </w:rPr>
            </w:pPr>
            <w:r>
              <w:rPr>
                <w:rFonts w:hint="eastAsia" w:asciiTheme="minorEastAsia" w:hAnsiTheme="minorEastAsia"/>
                <w:sz w:val="18"/>
                <w:szCs w:val="18"/>
              </w:rPr>
              <w:t>2.课程教学以实践教学为主，鼓励学生课后进行体育活动。</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13</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劳动教育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其中理论4，实践32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通过课程的学习，帮助学生树立正确的劳动观念，培育积极的劳动精神，正确认识劳动对于人类和社会发展的重要性，养成良好的劳动品质和习惯，积极参与各种劳动，不断增强劳动本领和提升劳动技能。</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1.课程的教学内容主要围绕劳动精神、劳模精神、工匠精神、劳动安全和劳动法规等方面，强化马克思主义劳动观教育、劳动法规与政策教育、劳动锻炼要求。</w:t>
            </w:r>
          </w:p>
          <w:p>
            <w:pPr>
              <w:rPr>
                <w:rFonts w:asciiTheme="minorEastAsia" w:hAnsiTheme="minorEastAsia"/>
                <w:sz w:val="18"/>
                <w:szCs w:val="18"/>
              </w:rPr>
            </w:pPr>
            <w:r>
              <w:rPr>
                <w:rFonts w:hint="eastAsia" w:asciiTheme="minorEastAsia" w:hAnsiTheme="minorEastAsia"/>
                <w:sz w:val="18"/>
                <w:szCs w:val="18"/>
              </w:rPr>
              <w:t>2.课程教学以实践教学为主，鼓励学生积极参加各类劳动教育活动。</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p>
        </w:tc>
      </w:tr>
    </w:tbl>
    <w:p>
      <w:pPr>
        <w:pStyle w:val="4"/>
        <w:spacing w:before="234" w:after="234"/>
        <w:ind w:left="420"/>
      </w:pPr>
      <w:bookmarkStart w:id="14" w:name="_Toc89793274"/>
      <w:r>
        <w:rPr>
          <w:rFonts w:hint="eastAsia"/>
        </w:rPr>
        <w:t>2.公共选修课</w:t>
      </w:r>
      <w:bookmarkEnd w:id="14"/>
    </w:p>
    <w:p>
      <w:pPr>
        <w:ind w:firstLine="420" w:firstLineChars="200"/>
      </w:pPr>
      <w:r>
        <w:rPr>
          <w:rFonts w:hint="eastAsia"/>
        </w:rPr>
        <w:t>本专业需完成的公共选修课见表</w:t>
      </w:r>
      <w:r>
        <w:t>3</w:t>
      </w:r>
      <w:r>
        <w:rPr>
          <w:rFonts w:hint="eastAsia"/>
        </w:rPr>
        <w:t>。</w:t>
      </w:r>
    </w:p>
    <w:p>
      <w:pPr>
        <w:jc w:val="center"/>
      </w:pPr>
      <w:r>
        <w:rPr>
          <w:rFonts w:hint="eastAsia"/>
        </w:rPr>
        <w:t>表3</w:t>
      </w:r>
      <w:r>
        <w:t xml:space="preserve"> </w:t>
      </w:r>
      <w:r>
        <w:rPr>
          <w:rFonts w:hint="eastAsia"/>
        </w:rPr>
        <w:t>公共选修课</w:t>
      </w:r>
    </w:p>
    <w:tbl>
      <w:tblPr>
        <w:tblStyle w:val="15"/>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8"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全校性公共选修课</w:t>
            </w:r>
          </w:p>
          <w:p>
            <w:pPr>
              <w:rPr>
                <w:rFonts w:asciiTheme="minorEastAsia" w:hAnsiTheme="minorEastAsia"/>
                <w:sz w:val="18"/>
                <w:szCs w:val="18"/>
              </w:rPr>
            </w:pPr>
            <w:r>
              <w:rPr>
                <w:rFonts w:hint="eastAsia" w:asciiTheme="minorEastAsia" w:hAnsiTheme="minorEastAsia"/>
                <w:sz w:val="18"/>
                <w:szCs w:val="18"/>
              </w:rPr>
              <w:t>（一门课程一般为1学分，学生在校期间须修满4学分）</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4.0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72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扩大学生的知识面、完善学生知识能力结构，培养和发展学生的兴趣和潜能。</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执行学校每学期公布的公共选修课目录，指导学生结合自身兴趣爱好选修相应课程。</w:t>
            </w:r>
          </w:p>
        </w:tc>
        <w:tc>
          <w:tcPr>
            <w:tcW w:w="588" w:type="dxa"/>
            <w:vAlign w:val="center"/>
          </w:tcPr>
          <w:p>
            <w:pPr>
              <w:rPr>
                <w:rFonts w:asciiTheme="minorEastAsia" w:hAnsiTheme="minorEastAsia"/>
                <w:sz w:val="18"/>
                <w:szCs w:val="18"/>
              </w:rPr>
            </w:pPr>
          </w:p>
        </w:tc>
      </w:tr>
    </w:tbl>
    <w:p>
      <w:pPr>
        <w:pStyle w:val="4"/>
        <w:spacing w:before="234" w:after="234"/>
        <w:ind w:left="420"/>
      </w:pPr>
      <w:bookmarkStart w:id="15" w:name="_Toc89793275"/>
      <w:r>
        <w:rPr>
          <w:rFonts w:hint="eastAsia"/>
        </w:rPr>
        <w:t>3.限定选修课</w:t>
      </w:r>
      <w:bookmarkEnd w:id="15"/>
    </w:p>
    <w:p>
      <w:pPr>
        <w:ind w:firstLine="420" w:firstLineChars="200"/>
      </w:pPr>
      <w:r>
        <w:rPr>
          <w:rFonts w:hint="eastAsia"/>
        </w:rPr>
        <w:t>本专业开设的限定选修课见表4。</w:t>
      </w:r>
    </w:p>
    <w:p>
      <w:pPr>
        <w:jc w:val="center"/>
      </w:pPr>
      <w:r>
        <w:rPr>
          <w:rFonts w:hint="eastAsia"/>
        </w:rPr>
        <w:t>表4</w:t>
      </w:r>
      <w:r>
        <w:t xml:space="preserve"> </w:t>
      </w:r>
      <w:r>
        <w:rPr>
          <w:rFonts w:hint="eastAsia"/>
        </w:rPr>
        <w:t>限定选修课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计算机应用基础</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32</w:t>
            </w:r>
          </w:p>
          <w:p>
            <w:pPr>
              <w:jc w:val="center"/>
              <w:rPr>
                <w:rFonts w:asciiTheme="minorEastAsia" w:hAnsiTheme="minorEastAsia"/>
                <w:sz w:val="18"/>
                <w:szCs w:val="18"/>
              </w:rPr>
            </w:pPr>
            <w:r>
              <w:rPr>
                <w:rFonts w:hint="eastAsia" w:asciiTheme="minorEastAsia" w:hAnsiTheme="minorEastAsia"/>
                <w:sz w:val="18"/>
                <w:szCs w:val="18"/>
              </w:rPr>
              <w:t>其中理论16，实践16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通过课程的学习，使学生能够掌握计算机基础知识、计算机基本使用方法、文字信息处理方法、数据信息处理技术以及实用计算机工具软件基本使用方法。</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1.课程的教学内容包括计算机的基础知识、基本概念和基本操作技能，实用软件的使用和计算机应用领域的前沿知识，为学生熟练使用计算机和进一步学习计算机有关知识打下基础。</w:t>
            </w:r>
          </w:p>
          <w:p>
            <w:pPr>
              <w:rPr>
                <w:rFonts w:asciiTheme="minorEastAsia" w:hAnsiTheme="minorEastAsia"/>
                <w:sz w:val="18"/>
                <w:szCs w:val="18"/>
              </w:rPr>
            </w:pPr>
            <w:r>
              <w:rPr>
                <w:rFonts w:hint="eastAsia" w:asciiTheme="minorEastAsia" w:hAnsiTheme="minorEastAsia"/>
                <w:sz w:val="18"/>
                <w:szCs w:val="18"/>
              </w:rPr>
              <w:t>2.课程教学以线上线下相结合的方式进行，鼓励学生自行实操练习，在做中学，在学中做。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大学英语</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3.0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60</w:t>
            </w:r>
          </w:p>
          <w:p>
            <w:pPr>
              <w:jc w:val="center"/>
              <w:rPr>
                <w:rFonts w:asciiTheme="minorEastAsia" w:hAnsiTheme="minorEastAsia"/>
                <w:sz w:val="18"/>
                <w:szCs w:val="18"/>
              </w:rPr>
            </w:pPr>
            <w:r>
              <w:rPr>
                <w:rFonts w:hint="eastAsia" w:asciiTheme="minorEastAsia" w:hAnsiTheme="minorEastAsia"/>
                <w:sz w:val="18"/>
                <w:szCs w:val="18"/>
              </w:rPr>
              <w:t>其中理论40，实践20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通过课程的学习，使学生掌握英语基础知识及常用语法知识，具备一定的词汇量；同时，增强学生自主学习的能力，培养学生的跨文化交际意识和良好的语言综合应用能力。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1.课程的主要教学内容是从听、说、读、写、译五个方面来展开各能力训练项目。</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公共艺术</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18</w:t>
            </w:r>
          </w:p>
          <w:p>
            <w:pPr>
              <w:jc w:val="center"/>
              <w:rPr>
                <w:rFonts w:asciiTheme="minorEastAsia" w:hAnsiTheme="minorEastAsia"/>
                <w:sz w:val="18"/>
                <w:szCs w:val="18"/>
              </w:rPr>
            </w:pPr>
            <w:r>
              <w:rPr>
                <w:rFonts w:hint="eastAsia" w:asciiTheme="minorEastAsia" w:hAnsiTheme="minorEastAsia"/>
                <w:sz w:val="18"/>
                <w:szCs w:val="18"/>
              </w:rPr>
              <w:t>其中理论4，实践14</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通过课程的学习，使学生了解不同艺术类型的表现形式、审美特征和相互之间的联系与区别，掌握欣赏艺术作品和创作艺术作品的基本方法，提高艺术鉴赏能力。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1.课程的教学内容主要是讲授公共艺术的理论与方法，培养学生对公共艺术有整体的了解和鉴赏能力，提高学生审美素养。</w:t>
            </w:r>
          </w:p>
          <w:p>
            <w:pPr>
              <w:rPr>
                <w:rFonts w:asciiTheme="minorEastAsia" w:hAnsiTheme="minorEastAsia"/>
                <w:sz w:val="18"/>
                <w:szCs w:val="18"/>
              </w:rPr>
            </w:pPr>
            <w:r>
              <w:rPr>
                <w:rFonts w:hint="eastAsia" w:asciiTheme="minorEastAsia" w:hAnsiTheme="minorEastAsia"/>
                <w:sz w:val="18"/>
                <w:szCs w:val="18"/>
              </w:rPr>
              <w:t>2.课程教学以实践教学为主，鼓励学生积极参加艺术教育活动。</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vAlign w:val="center"/>
          </w:tcPr>
          <w:p>
            <w:pPr>
              <w:ind w:firstLine="180" w:firstLineChars="100"/>
              <w:rPr>
                <w:rFonts w:asciiTheme="minorEastAsia" w:hAnsiTheme="minorEastAsia"/>
                <w:sz w:val="18"/>
                <w:szCs w:val="18"/>
              </w:rPr>
            </w:pPr>
            <w:r>
              <w:rPr>
                <w:rFonts w:hint="eastAsia" w:asciiTheme="minorEastAsia" w:hAnsiTheme="minorEastAsia"/>
                <w:sz w:val="18"/>
                <w:szCs w:val="18"/>
              </w:rPr>
              <w:t>数学</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.5</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6</w:t>
            </w:r>
            <w:r>
              <w:rPr>
                <w:rFonts w:asciiTheme="minorEastAsia" w:hAnsiTheme="minorEastAsia"/>
                <w:sz w:val="18"/>
                <w:szCs w:val="18"/>
              </w:rPr>
              <w:t>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通过课程的学习，使学生能够掌握数学基础知识、求极限、积分、微分以及相关应用。</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1.课程的教学内容包括数学基础知识、求极限、积分、微分以及相关应用。</w:t>
            </w:r>
          </w:p>
          <w:p>
            <w:pPr>
              <w:rPr>
                <w:rFonts w:asciiTheme="minorEastAsia" w:hAnsiTheme="minorEastAsia"/>
                <w:sz w:val="18"/>
                <w:szCs w:val="18"/>
              </w:rPr>
            </w:pPr>
            <w:r>
              <w:rPr>
                <w:rFonts w:hint="eastAsia" w:asciiTheme="minorEastAsia" w:hAnsiTheme="minorEastAsia"/>
                <w:sz w:val="18"/>
                <w:szCs w:val="18"/>
              </w:rPr>
              <w:t>2.课程教学以线上线下相结合的方式进行，鼓励学生自行学习练习，在做中学，在学中做。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bl>
    <w:p>
      <w:pPr>
        <w:pStyle w:val="3"/>
      </w:pPr>
      <w:bookmarkStart w:id="16" w:name="_Toc89793276"/>
      <w:r>
        <w:rPr>
          <w:rFonts w:hint="eastAsia"/>
        </w:rPr>
        <w:t>（二）专业（技能）课程</w:t>
      </w:r>
      <w:bookmarkEnd w:id="16"/>
    </w:p>
    <w:p>
      <w:pPr>
        <w:ind w:firstLine="420" w:firstLineChars="200"/>
      </w:pPr>
      <w:r>
        <w:rPr>
          <w:rFonts w:hint="eastAsia"/>
        </w:rPr>
        <w:t>专业（技能）课程分为专业基础平台课、专业技术方向课、专业拓展课。</w:t>
      </w:r>
    </w:p>
    <w:p>
      <w:pPr>
        <w:pStyle w:val="4"/>
        <w:spacing w:before="234" w:after="234"/>
        <w:ind w:left="420"/>
      </w:pPr>
      <w:bookmarkStart w:id="17" w:name="_Toc89793277"/>
      <w:r>
        <w:rPr>
          <w:rFonts w:hint="eastAsia"/>
        </w:rPr>
        <w:t>1.专业群基础平台课</w:t>
      </w:r>
      <w:bookmarkEnd w:id="17"/>
    </w:p>
    <w:p>
      <w:pPr>
        <w:ind w:firstLine="420" w:firstLineChars="200"/>
      </w:pPr>
      <w:r>
        <w:rPr>
          <w:rFonts w:hint="eastAsia"/>
        </w:rPr>
        <w:t>本专业开设的专业群基础平台课见表5。</w:t>
      </w:r>
    </w:p>
    <w:p>
      <w:pPr>
        <w:jc w:val="center"/>
      </w:pPr>
      <w:r>
        <w:rPr>
          <w:rFonts w:hint="eastAsia"/>
        </w:rPr>
        <w:t>表5</w:t>
      </w:r>
      <w:r>
        <w:t xml:space="preserve"> </w:t>
      </w:r>
      <w:r>
        <w:rPr>
          <w:rFonts w:hint="eastAsia"/>
        </w:rPr>
        <w:t>专业群基础平台课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机械制图</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4.0</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72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w:t>
            </w:r>
            <w:r>
              <w:rPr>
                <w:rFonts w:asciiTheme="minorEastAsia" w:hAnsiTheme="minorEastAsia"/>
                <w:sz w:val="18"/>
                <w:szCs w:val="18"/>
              </w:rPr>
              <w:t>从正投影的基本理论入手，培养学生具有一定的图形表达能力、识图能力、空间想象和思维能力及绘图实际技能</w:t>
            </w:r>
            <w:r>
              <w:rPr>
                <w:rFonts w:hint="eastAsia" w:asciiTheme="minorEastAsia" w:hAnsiTheme="minorEastAsia"/>
                <w:sz w:val="18"/>
                <w:szCs w:val="18"/>
              </w:rPr>
              <w:t>，掌握</w:t>
            </w:r>
            <w:r>
              <w:rPr>
                <w:rFonts w:asciiTheme="minorEastAsia" w:hAnsiTheme="minorEastAsia"/>
                <w:sz w:val="18"/>
                <w:szCs w:val="18"/>
              </w:rPr>
              <w:t>正投影法的基础理论及其应用，熟悉并正确执行制图国家标准及其有关规定</w:t>
            </w:r>
            <w:r>
              <w:rPr>
                <w:rFonts w:hint="eastAsia" w:asciiTheme="minorEastAsia" w:hAnsiTheme="minorEastAsia"/>
                <w:sz w:val="18"/>
                <w:szCs w:val="18"/>
              </w:rPr>
              <w:t>，</w:t>
            </w:r>
            <w:r>
              <w:rPr>
                <w:rFonts w:asciiTheme="minorEastAsia" w:hAnsiTheme="minorEastAsia"/>
                <w:sz w:val="18"/>
                <w:szCs w:val="18"/>
              </w:rPr>
              <w:t>能够阅读比较复杂的机械图样</w:t>
            </w:r>
            <w:r>
              <w:rPr>
                <w:rFonts w:hint="eastAsia" w:asciiTheme="minorEastAsia" w:hAnsiTheme="minorEastAsia"/>
                <w:sz w:val="18"/>
                <w:szCs w:val="18"/>
              </w:rPr>
              <w:t>。</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1.课程的主要从</w:t>
            </w:r>
            <w:r>
              <w:rPr>
                <w:rFonts w:asciiTheme="minorEastAsia" w:hAnsiTheme="minorEastAsia"/>
                <w:sz w:val="18"/>
                <w:szCs w:val="18"/>
              </w:rPr>
              <w:t>画图能力和看图能力</w:t>
            </w:r>
            <w:r>
              <w:rPr>
                <w:rFonts w:hint="eastAsia" w:asciiTheme="minorEastAsia" w:hAnsiTheme="minorEastAsia"/>
                <w:sz w:val="18"/>
                <w:szCs w:val="18"/>
              </w:rPr>
              <w:t>训练项目，</w:t>
            </w:r>
            <w:r>
              <w:rPr>
                <w:rFonts w:asciiTheme="minorEastAsia" w:hAnsiTheme="minorEastAsia"/>
                <w:sz w:val="18"/>
                <w:szCs w:val="18"/>
              </w:rPr>
              <w:t>采用“教、学、做”一体化的教学模式</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实践3</w:t>
            </w:r>
            <w:r>
              <w:rPr>
                <w:rFonts w:asciiTheme="minorEastAsia" w:hAnsiTheme="minorEastAsia"/>
                <w:sz w:val="18"/>
                <w:szCs w:val="18"/>
              </w:rPr>
              <w:t>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电工基础技能</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56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通过课程的学习使学生获得电工技术的基本理论、基本知识和基本技能，掌握典型电路的基本分析方法和技巧，从而提高实践技能，增强分析和解决实际问题的能力。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1.课程的教学内容电阻、电容、电感电路</w:t>
            </w:r>
            <w:r>
              <w:rPr>
                <w:rFonts w:asciiTheme="minorEastAsia" w:hAnsiTheme="minorEastAsia"/>
                <w:sz w:val="18"/>
                <w:szCs w:val="18"/>
              </w:rPr>
              <w:t>系统原理，系统结构，分析方法</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2.课程教学以线上线下相结合的方式进行，理论额实操相结合，鼓励学生自行学习练习，在做中学，在学中做。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tcBorders>
              <w:top w:val="nil"/>
              <w:left w:val="single" w:color="000000" w:sz="4" w:space="0"/>
              <w:bottom w:val="single" w:color="000000" w:sz="4" w:space="0"/>
              <w:right w:val="single" w:color="000000" w:sz="4" w:space="0"/>
            </w:tcBorders>
            <w:shd w:val="clear" w:color="000000" w:fill="FFFFFF"/>
            <w:vAlign w:val="center"/>
          </w:tcPr>
          <w:p>
            <w:pPr>
              <w:rPr>
                <w:rFonts w:asciiTheme="minorEastAsia" w:hAnsiTheme="minorEastAsia"/>
                <w:sz w:val="18"/>
                <w:szCs w:val="18"/>
              </w:rPr>
            </w:pPr>
            <w:r>
              <w:rPr>
                <w:rFonts w:hint="eastAsia"/>
                <w:sz w:val="18"/>
                <w:szCs w:val="18"/>
              </w:rPr>
              <w:t>C语言程序设计</w:t>
            </w:r>
          </w:p>
        </w:tc>
        <w:tc>
          <w:tcPr>
            <w:tcW w:w="592" w:type="dxa"/>
            <w:tcBorders>
              <w:top w:val="nil"/>
              <w:left w:val="single" w:color="000000" w:sz="4" w:space="0"/>
              <w:bottom w:val="single" w:color="000000" w:sz="4" w:space="0"/>
              <w:right w:val="single" w:color="000000" w:sz="4" w:space="0"/>
            </w:tcBorders>
            <w:shd w:val="clear" w:color="000000" w:fill="FFFFFF"/>
            <w:vAlign w:val="center"/>
          </w:tcPr>
          <w:p>
            <w:pPr>
              <w:rPr>
                <w:rFonts w:asciiTheme="minorEastAsia" w:hAnsiTheme="minorEastAsia"/>
                <w:sz w:val="18"/>
                <w:szCs w:val="18"/>
              </w:rPr>
            </w:pPr>
            <w:r>
              <w:rPr>
                <w:sz w:val="18"/>
                <w:szCs w:val="18"/>
              </w:rPr>
              <w:t>3.5</w:t>
            </w:r>
          </w:p>
        </w:tc>
        <w:tc>
          <w:tcPr>
            <w:tcW w:w="1176"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Theme="minorEastAsia" w:hAnsiTheme="minorEastAsia"/>
                <w:sz w:val="18"/>
                <w:szCs w:val="18"/>
              </w:rPr>
            </w:pPr>
            <w:r>
              <w:rPr>
                <w:sz w:val="18"/>
                <w:szCs w:val="18"/>
              </w:rPr>
              <w:t>66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通过课程的学习使学生掌握赋值语句、选择语句、循环语句等基本编程方法，通过上机编程能够用函数实现模块化程序设计，提高实践技能，增强分析和解决实际问题的能力。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1.课程的教学内容赋值语句、选择语句、循环语句、数组。</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实践3</w:t>
            </w:r>
            <w:r>
              <w:rPr>
                <w:rFonts w:asciiTheme="minorEastAsia" w:hAnsiTheme="minorEastAsia"/>
                <w:sz w:val="18"/>
                <w:szCs w:val="18"/>
              </w:rPr>
              <w:t>4</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4</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电机与电气控制技术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80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将电机与电气控制技术融合为一体，以交、直流电机为驱动装置，以低压电器为控制、保护元件，组成生产机械的电力拖动和电气控制系统，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1.课程的教学内容掌握常用低压电器、电气控制线路的基本环节、典型机床的电气控制线路的组成和工作原理，以及电气控制线路的接线和控制线路中的故障检查。</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42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38</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5</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液压传动与气动</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2.5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44</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通过课程的学习使学生能够结合相关液压系统、气动系统的学习，最终让学生能够掌握分析相关液压系统、气动系统的结构及原理，让学生具有较强的实践动手能力、独立分析问题能力与解决问题的能力。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1.课程的教学内容液压系统、气动系统的组成及其各部分元件的结构与原理，让学生学会识别各类液压元件、气动元件，懂得分析各种液压与气压传动的常用回路结构、功能及用途。</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16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28</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6</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电子技术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85</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通过课程的学习使学生分析和掌握数字电路和模拟电路，会分析和计算电路中各种参数，提高实践技能，增强分析和解决实际问题的能力。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1.课程的教学内容掌握常用低压电器、电气控制线路的基本环节、典型机床的电气控制线路的组成和工作原理，以及电气控制线路的接线和控制线路中的故障检查。</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58</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27</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7</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可编程控制器与组态监控</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80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w:t>
            </w:r>
            <w:r>
              <w:rPr>
                <w:rFonts w:hint="eastAsia"/>
                <w:sz w:val="18"/>
                <w:szCs w:val="18"/>
              </w:rPr>
              <w:t>过课程的学习使学生掌握西门子PLC和触摸屏的编程及应用技术，对可编程控制器构成的控制系统进行软件编程和控制电路的分析和设计，提高实践技能，增强分析和解决实际问题的能力。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1.课程的教学内容具有组态软件变量的定义和管理、定义I/O设备、应用程序命令语言的能力；具有如何在运行系统中判断和控制设备通信状态的能力</w:t>
            </w:r>
            <w:r>
              <w:rPr>
                <w:rFonts w:hint="eastAsia" w:ascii="宋体" w:hAnsi="宋体"/>
              </w:rPr>
              <w:t>。</w:t>
            </w:r>
            <w:r>
              <w:rPr>
                <w:rFonts w:hint="eastAsia" w:asciiTheme="minorEastAsia" w:hAnsiTheme="minorEastAsia"/>
                <w:sz w:val="18"/>
                <w:szCs w:val="18"/>
              </w:rPr>
              <w:t xml:space="preserve"> 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40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40</w:t>
            </w:r>
            <w:r>
              <w:rPr>
                <w:rFonts w:hint="eastAsia" w:asciiTheme="minorEastAsia" w:hAnsiTheme="minorEastAsia"/>
                <w:sz w:val="18"/>
                <w:szCs w:val="18"/>
              </w:rPr>
              <w:t>学时</w:t>
            </w:r>
          </w:p>
        </w:tc>
      </w:tr>
    </w:tbl>
    <w:p>
      <w:pPr>
        <w:pStyle w:val="4"/>
        <w:spacing w:before="234" w:after="234"/>
        <w:ind w:left="420"/>
      </w:pPr>
      <w:bookmarkStart w:id="18" w:name="_Toc89793278"/>
      <w:r>
        <w:t>2</w:t>
      </w:r>
      <w:r>
        <w:rPr>
          <w:rFonts w:hint="eastAsia"/>
        </w:rPr>
        <w:t>.专业技术方向课</w:t>
      </w:r>
      <w:bookmarkEnd w:id="18"/>
    </w:p>
    <w:p>
      <w:pPr>
        <w:ind w:firstLine="420" w:firstLineChars="200"/>
      </w:pPr>
      <w:r>
        <w:rPr>
          <w:rFonts w:hint="eastAsia"/>
        </w:rPr>
        <w:t>本专业开设的专业技术方向课见表6。</w:t>
      </w:r>
    </w:p>
    <w:p>
      <w:pPr>
        <w:jc w:val="center"/>
      </w:pPr>
      <w:r>
        <w:rPr>
          <w:rFonts w:hint="eastAsia"/>
        </w:rPr>
        <w:t>表6</w:t>
      </w:r>
      <w:r>
        <w:t xml:space="preserve"> </w:t>
      </w:r>
      <w:r>
        <w:rPr>
          <w:rFonts w:hint="eastAsia"/>
        </w:rPr>
        <w:t>专业技术方向课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单片机应用技术</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3.5</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68</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w:t>
            </w:r>
            <w:r>
              <w:rPr>
                <w:rFonts w:hint="eastAsia"/>
                <w:sz w:val="18"/>
                <w:szCs w:val="18"/>
              </w:rPr>
              <w:t>过课程的学习使51单片机I/O端口使用，定时器和中断编程，以及外围电路的搭建和编程，通过软件编程、电脑仿真和硬件电路实操，提高实践技能，增强分析和解决实际问题的能力。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1.课程的教学内容I/O端口应用、LED数码管、LCD液晶显示、键盘、定时器和中断、串行通信</w:t>
            </w:r>
            <w:r>
              <w:rPr>
                <w:rFonts w:hint="eastAsia" w:ascii="宋体" w:hAnsi="宋体"/>
              </w:rPr>
              <w:t>。</w:t>
            </w:r>
            <w:r>
              <w:rPr>
                <w:rFonts w:hint="eastAsia" w:asciiTheme="minorEastAsia" w:hAnsiTheme="minorEastAsia"/>
                <w:sz w:val="18"/>
                <w:szCs w:val="18"/>
              </w:rPr>
              <w:t xml:space="preserve"> 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实践3</w:t>
            </w:r>
            <w:r>
              <w:rPr>
                <w:rFonts w:asciiTheme="minorEastAsia" w:hAnsiTheme="minorEastAsia"/>
                <w:sz w:val="18"/>
                <w:szCs w:val="18"/>
              </w:rPr>
              <w:t>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计算机绘图</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sz w:val="18"/>
                <w:szCs w:val="18"/>
              </w:rPr>
            </w:pPr>
            <w:r>
              <w:rPr>
                <w:rFonts w:hint="eastAsia"/>
                <w:sz w:val="18"/>
                <w:szCs w:val="18"/>
              </w:rPr>
              <w:t>51</w:t>
            </w:r>
          </w:p>
        </w:tc>
        <w:tc>
          <w:tcPr>
            <w:tcW w:w="2113" w:type="dxa"/>
            <w:vAlign w:val="center"/>
          </w:tcPr>
          <w:p>
            <w:pPr>
              <w:rPr>
                <w:sz w:val="18"/>
                <w:szCs w:val="18"/>
              </w:rPr>
            </w:pPr>
            <w:r>
              <w:rPr>
                <w:rFonts w:hint="eastAsia"/>
                <w:sz w:val="18"/>
                <w:szCs w:val="18"/>
              </w:rPr>
              <w:t>通过课程的学习使学生掌握阅读分析零件图；AutoCAD绘制零件各个视角的二维图形，能掌握的三维模型的创建；绘制出符合行业规范的图纸并能在打印机或绘图仪出图，增强分析和解决实际问题的能力。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1.课程的教学内容掌握基本线、圆弧等操作，学会文字与表格、尺寸标注、图块使用，能进行零件图绘制、装配图绘制、图形输出等。 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25</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机械设计基础</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56</w:t>
            </w:r>
          </w:p>
        </w:tc>
        <w:tc>
          <w:tcPr>
            <w:tcW w:w="2113" w:type="dxa"/>
            <w:vAlign w:val="center"/>
          </w:tcPr>
          <w:p>
            <w:pPr>
              <w:rPr>
                <w:rFonts w:asciiTheme="minorEastAsia" w:hAnsiTheme="minorEastAsia"/>
                <w:sz w:val="18"/>
                <w:szCs w:val="18"/>
              </w:rPr>
            </w:pPr>
            <w:r>
              <w:rPr>
                <w:rFonts w:hint="eastAsia"/>
                <w:sz w:val="18"/>
                <w:szCs w:val="18"/>
              </w:rPr>
              <w:t>通过课程的学习使学生</w:t>
            </w:r>
            <w:r>
              <w:rPr>
                <w:sz w:val="18"/>
                <w:szCs w:val="18"/>
              </w:rPr>
              <w:t>掌握简单机械系统的设计和应用</w:t>
            </w:r>
            <w:r>
              <w:rPr>
                <w:rFonts w:hint="eastAsia"/>
                <w:sz w:val="18"/>
                <w:szCs w:val="18"/>
              </w:rPr>
              <w:t>方法，具备机械设计初步能力和机械操作能力</w:t>
            </w:r>
            <w:r>
              <w:rPr>
                <w:sz w:val="18"/>
                <w:szCs w:val="18"/>
              </w:rPr>
              <w:t>。</w:t>
            </w:r>
            <w:r>
              <w:rPr>
                <w:rFonts w:hint="eastAsia"/>
                <w:sz w:val="18"/>
                <w:szCs w:val="18"/>
              </w:rPr>
              <w:t>为学生进一步学习有关专业课程和日后从事机械产品结构设计、机械产品造型设计、机械设备操作、机械维修等工作打下基础，同时培养学生正确的方法能力及社会能力，增强分析和解决实际问题的能力。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w:t>
            </w:r>
            <w:r>
              <w:rPr>
                <w:rFonts w:hint="eastAsia"/>
                <w:sz w:val="18"/>
                <w:szCs w:val="18"/>
              </w:rPr>
              <w:t>程的教学内容以常有机械零部件的设计和选用为核心，要求熟练掌握凸轮、带、齿轮、涡轮蜗杆、轮系、连接、轴和轴承的有关结构和理论参数设计；以常有机械传动机构为纽带，要求熟练设计出平面连杆机构、凸轮机构、带传动、齿轮传动机构、蜗杆机构等常用机械传动装置。</w:t>
            </w:r>
            <w:r>
              <w:rPr>
                <w:rFonts w:hint="eastAsia" w:asciiTheme="minorEastAsia" w:hAnsiTheme="minorEastAsia"/>
                <w:sz w:val="18"/>
                <w:szCs w:val="18"/>
              </w:rPr>
              <w:t xml:space="preserve">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电工技能训练</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sz w:val="18"/>
                <w:szCs w:val="18"/>
              </w:rPr>
              <w:t>60</w:t>
            </w:r>
          </w:p>
        </w:tc>
        <w:tc>
          <w:tcPr>
            <w:tcW w:w="2113" w:type="dxa"/>
            <w:vAlign w:val="center"/>
          </w:tcPr>
          <w:p>
            <w:pPr>
              <w:rPr>
                <w:sz w:val="18"/>
                <w:szCs w:val="18"/>
              </w:rPr>
            </w:pPr>
            <w:r>
              <w:rPr>
                <w:rFonts w:hint="eastAsia"/>
                <w:sz w:val="18"/>
                <w:szCs w:val="18"/>
              </w:rPr>
              <w:t>通过课程的学习使学生</w:t>
            </w:r>
            <w:r>
              <w:rPr>
                <w:sz w:val="18"/>
                <w:szCs w:val="18"/>
              </w:rPr>
              <w:t>掌握较强的设计、调试和维护等实践技能</w:t>
            </w:r>
            <w:r>
              <w:rPr>
                <w:rFonts w:hint="eastAsia"/>
                <w:sz w:val="18"/>
                <w:szCs w:val="18"/>
              </w:rPr>
              <w:t>，能</w:t>
            </w:r>
            <w:r>
              <w:rPr>
                <w:sz w:val="18"/>
                <w:szCs w:val="18"/>
              </w:rPr>
              <w:t>进行简单供配电系统和</w:t>
            </w:r>
            <w:r>
              <w:rPr>
                <w:rFonts w:hint="eastAsia"/>
                <w:sz w:val="18"/>
                <w:szCs w:val="18"/>
              </w:rPr>
              <w:t>照明</w:t>
            </w:r>
            <w:r>
              <w:rPr>
                <w:sz w:val="18"/>
                <w:szCs w:val="18"/>
              </w:rPr>
              <w:t>系统的设计专业技能</w:t>
            </w:r>
            <w:r>
              <w:rPr>
                <w:rFonts w:hint="eastAsia"/>
                <w:sz w:val="18"/>
                <w:szCs w:val="18"/>
              </w:rPr>
              <w:t>，</w:t>
            </w:r>
            <w:r>
              <w:rPr>
                <w:sz w:val="18"/>
                <w:szCs w:val="18"/>
              </w:rPr>
              <w:t>阅读简单电气原理图、电器布置图和电器安装接线图。</w:t>
            </w:r>
            <w:r>
              <w:rPr>
                <w:rFonts w:hint="eastAsia"/>
                <w:sz w:val="18"/>
                <w:szCs w:val="18"/>
              </w:rPr>
              <w:t>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1.课程的教学内容掌握供配电</w:t>
            </w:r>
            <w:r>
              <w:rPr>
                <w:rFonts w:asciiTheme="minorEastAsia" w:hAnsiTheme="minorEastAsia"/>
                <w:sz w:val="18"/>
                <w:szCs w:val="18"/>
              </w:rPr>
              <w:t>和电气照明的基础知识</w:t>
            </w:r>
            <w:r>
              <w:rPr>
                <w:rFonts w:hint="eastAsia" w:asciiTheme="minorEastAsia" w:hAnsiTheme="minorEastAsia"/>
                <w:sz w:val="18"/>
                <w:szCs w:val="18"/>
              </w:rPr>
              <w:t>、点击工作原理、常用电</w:t>
            </w:r>
            <w:r>
              <w:rPr>
                <w:rFonts w:asciiTheme="minorEastAsia" w:hAnsiTheme="minorEastAsia"/>
                <w:sz w:val="18"/>
                <w:szCs w:val="18"/>
              </w:rPr>
              <w:t>工工具的操作方法</w:t>
            </w:r>
            <w:r>
              <w:rPr>
                <w:rFonts w:hint="eastAsia" w:asciiTheme="minorEastAsia" w:hAnsiTheme="minorEastAsia"/>
                <w:sz w:val="18"/>
                <w:szCs w:val="18"/>
              </w:rPr>
              <w:t>、触电脱离</w:t>
            </w:r>
            <w:r>
              <w:rPr>
                <w:rFonts w:asciiTheme="minorEastAsia" w:hAnsiTheme="minorEastAsia"/>
                <w:sz w:val="18"/>
                <w:szCs w:val="18"/>
              </w:rPr>
              <w:t>电源</w:t>
            </w:r>
            <w:r>
              <w:rPr>
                <w:rFonts w:hint="eastAsia" w:asciiTheme="minorEastAsia" w:hAnsiTheme="minorEastAsia"/>
                <w:sz w:val="18"/>
                <w:szCs w:val="18"/>
              </w:rPr>
              <w:t>和</w:t>
            </w:r>
            <w:r>
              <w:rPr>
                <w:rFonts w:asciiTheme="minorEastAsia" w:hAnsiTheme="minorEastAsia"/>
                <w:sz w:val="18"/>
                <w:szCs w:val="18"/>
              </w:rPr>
              <w:t>触电急救的方法</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40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传感与检测技术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sz w:val="18"/>
                <w:szCs w:val="18"/>
              </w:rPr>
              <w:t>3</w:t>
            </w:r>
            <w:r>
              <w:rPr>
                <w:rFonts w:hint="eastAsia"/>
                <w:sz w:val="18"/>
                <w:szCs w:val="18"/>
              </w:rPr>
              <w:t>.0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sz w:val="18"/>
                <w:szCs w:val="18"/>
              </w:rPr>
              <w:t>36</w:t>
            </w:r>
          </w:p>
        </w:tc>
        <w:tc>
          <w:tcPr>
            <w:tcW w:w="2113" w:type="dxa"/>
            <w:vAlign w:val="center"/>
          </w:tcPr>
          <w:p>
            <w:pPr>
              <w:rPr>
                <w:sz w:val="18"/>
                <w:szCs w:val="18"/>
              </w:rPr>
            </w:pPr>
            <w:r>
              <w:rPr>
                <w:rFonts w:hint="eastAsia"/>
                <w:sz w:val="18"/>
                <w:szCs w:val="18"/>
              </w:rPr>
              <w:t>通过课程的学习，培养学习面向企业电气自动化设备的维护、管理、安装、改造和调试岗位，培养从事以上岗位具有必须的技能和职业素质的人员。</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掌握各种不同类型传感器的作用、原理及应用场合；理解各种传感器的转换测量电路的原理；掌握传感器的选用方法</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16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变频调速技术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2.5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48</w:t>
            </w:r>
          </w:p>
        </w:tc>
        <w:tc>
          <w:tcPr>
            <w:tcW w:w="2113" w:type="dxa"/>
            <w:vAlign w:val="center"/>
          </w:tcPr>
          <w:p>
            <w:pPr>
              <w:rPr>
                <w:rFonts w:asciiTheme="minorEastAsia" w:hAnsiTheme="minorEastAsia"/>
                <w:sz w:val="18"/>
                <w:szCs w:val="18"/>
              </w:rPr>
            </w:pPr>
            <w:r>
              <w:rPr>
                <w:rFonts w:hint="eastAsia"/>
                <w:sz w:val="18"/>
                <w:szCs w:val="18"/>
              </w:rPr>
              <w:t>通过课程的学习，以变频调速原理、方案及其应用为主线，通过典型线路进行讲解，使学生掌握变频调速方案的原理和实际应用。培养学生正确的方法能力及社会能力，增强分析和解决实际问题的能力。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掌握各种不同类型传感器的作用、原理及应用场合；理解各种传感器的转换测量电路的原理；掌握传感器的选用方法</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22</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工业机器人技术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80</w:t>
            </w:r>
          </w:p>
        </w:tc>
        <w:tc>
          <w:tcPr>
            <w:tcW w:w="2113" w:type="dxa"/>
            <w:vAlign w:val="center"/>
          </w:tcPr>
          <w:p>
            <w:pPr>
              <w:rPr>
                <w:rFonts w:asciiTheme="minorEastAsia" w:hAnsiTheme="minorEastAsia"/>
                <w:sz w:val="18"/>
                <w:szCs w:val="18"/>
              </w:rPr>
            </w:pPr>
            <w:r>
              <w:rPr>
                <w:rFonts w:hint="eastAsia"/>
                <w:sz w:val="18"/>
                <w:szCs w:val="18"/>
              </w:rPr>
              <w:t>通过课程的学习，使学生掌握典型的机器人结构、正确操作工业机器人。培养学生正确的方法能力及社会能力，增强分析和解决实际问题的能力。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w:t>
            </w:r>
            <w:r>
              <w:rPr>
                <w:rFonts w:hint="eastAsia" w:asciiTheme="minorEastAsia" w:hAnsiTheme="minorEastAsia"/>
                <w:sz w:val="18"/>
                <w:szCs w:val="18"/>
              </w:rPr>
              <w:t>工业机器人控制系统的基本构成及操作方法，机器人系统的的基本程序语言和编程方法。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40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40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自动生产线控制维护使用</w:t>
            </w:r>
            <w:r>
              <w:rPr>
                <w:rFonts w:hint="eastAsia"/>
                <w:sz w:val="18"/>
                <w:szCs w:val="18"/>
              </w:rPr>
              <w:br w:type="textWrapping"/>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72</w:t>
            </w:r>
          </w:p>
        </w:tc>
        <w:tc>
          <w:tcPr>
            <w:tcW w:w="2113" w:type="dxa"/>
            <w:vAlign w:val="center"/>
          </w:tcPr>
          <w:p>
            <w:pPr>
              <w:rPr>
                <w:sz w:val="18"/>
                <w:szCs w:val="18"/>
              </w:rPr>
            </w:pPr>
            <w:r>
              <w:rPr>
                <w:rFonts w:hint="eastAsia"/>
                <w:sz w:val="18"/>
                <w:szCs w:val="18"/>
              </w:rPr>
              <w:t>通过课程的学习使学生</w:t>
            </w:r>
            <w:r>
              <w:rPr>
                <w:sz w:val="18"/>
                <w:szCs w:val="18"/>
              </w:rPr>
              <w:t>掌握</w:t>
            </w:r>
            <w:r>
              <w:rPr>
                <w:rFonts w:hint="eastAsia"/>
                <w:sz w:val="18"/>
                <w:szCs w:val="18"/>
              </w:rPr>
              <w:t>进行简单气路、电路识图及布线；能正确分析自动生产线设备的工作原理、工作过程，同时培养学生正确的方法能力及社会能力，增强分析和解决实际问题的能力。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w:t>
            </w:r>
            <w:r>
              <w:rPr>
                <w:rFonts w:hint="eastAsia" w:asciiTheme="minorEastAsia" w:hAnsiTheme="minorEastAsia"/>
                <w:sz w:val="18"/>
                <w:szCs w:val="18"/>
              </w:rPr>
              <w:t>自动化生产线的安装和调试技能；学会自动化生产线运行过程的监控、故障检测和排除技能；具备自动化生产线维护和管理能力。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实践4</w:t>
            </w:r>
            <w:r>
              <w:rPr>
                <w:rFonts w:asciiTheme="minorEastAsia" w:hAnsiTheme="minorEastAsia"/>
                <w:sz w:val="18"/>
                <w:szCs w:val="18"/>
              </w:rPr>
              <w:t>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9</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6"/>
                <w:szCs w:val="16"/>
              </w:rPr>
              <w:t>毕业综合实训和生产（顶岗）实习</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6"/>
                <w:szCs w:val="16"/>
              </w:rPr>
              <w:t xml:space="preserve">15.0 </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6"/>
                <w:szCs w:val="16"/>
              </w:rPr>
              <w:t>450</w:t>
            </w:r>
          </w:p>
        </w:tc>
        <w:tc>
          <w:tcPr>
            <w:tcW w:w="2113" w:type="dxa"/>
            <w:vAlign w:val="center"/>
          </w:tcPr>
          <w:p>
            <w:pPr>
              <w:rPr>
                <w:rFonts w:asciiTheme="minorEastAsia" w:hAnsiTheme="minorEastAsia"/>
                <w:sz w:val="18"/>
                <w:szCs w:val="18"/>
              </w:rPr>
            </w:pPr>
            <w:r>
              <w:rPr>
                <w:rFonts w:hint="eastAsia"/>
                <w:sz w:val="18"/>
                <w:szCs w:val="18"/>
              </w:rPr>
              <w:t>通过课程的学习使学生能够运用所学的专业知识进行产品设计，同时结合实习岗位解决问题，培养学生正确的方法能力及社会能力，增强分析和解决实际问题的能力。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运用所学专业知识设计实际产品</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纯实践课</w:t>
            </w:r>
          </w:p>
        </w:tc>
      </w:tr>
    </w:tbl>
    <w:p>
      <w:pPr>
        <w:pStyle w:val="4"/>
        <w:spacing w:before="234" w:after="234"/>
        <w:ind w:left="420"/>
      </w:pPr>
      <w:bookmarkStart w:id="19" w:name="_Toc89793279"/>
      <w:r>
        <w:rPr>
          <w:rFonts w:hint="eastAsia"/>
        </w:rPr>
        <w:t>3.专业拓展课</w:t>
      </w:r>
      <w:bookmarkEnd w:id="19"/>
    </w:p>
    <w:p>
      <w:pPr>
        <w:ind w:firstLine="420" w:firstLineChars="200"/>
      </w:pPr>
      <w:r>
        <w:rPr>
          <w:rFonts w:hint="eastAsia"/>
        </w:rPr>
        <w:t>本专业开设的专业拓展课见表7。</w:t>
      </w:r>
    </w:p>
    <w:p>
      <w:pPr>
        <w:jc w:val="center"/>
      </w:pPr>
      <w:r>
        <w:rPr>
          <w:rFonts w:hint="eastAsia"/>
        </w:rPr>
        <w:t>表7</w:t>
      </w:r>
      <w:r>
        <w:t xml:space="preserve"> </w:t>
      </w:r>
      <w:r>
        <w:rPr>
          <w:rFonts w:hint="eastAsia"/>
        </w:rPr>
        <w:t>专业拓展课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嵌入式系统应用技术</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2.5</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48</w:t>
            </w:r>
          </w:p>
        </w:tc>
        <w:tc>
          <w:tcPr>
            <w:tcW w:w="2113" w:type="dxa"/>
            <w:vAlign w:val="center"/>
          </w:tcPr>
          <w:p>
            <w:pPr>
              <w:rPr>
                <w:rFonts w:asciiTheme="minorEastAsia" w:hAnsiTheme="minorEastAsia"/>
                <w:sz w:val="18"/>
                <w:szCs w:val="18"/>
              </w:rPr>
            </w:pPr>
            <w:r>
              <w:rPr>
                <w:rFonts w:hint="eastAsia"/>
                <w:sz w:val="18"/>
                <w:szCs w:val="18"/>
              </w:rPr>
              <w:t>通过课程的学习使学生了解嵌入式系统的基础知识，掌握在ARM Cortex STM32F4教学开发平台上应用MDK5的开发环境进行相关的工程开发，同时培养学生正确的方法能力及社会能力，增强分析和解决实际问题的能力。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1.课程的教学内容掌握应用I/O端口、中断和定时器、AD/DA、串行通信、LCD控制器等的关键技术。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24</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24</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asciiTheme="minorEastAsia" w:hAnsiTheme="minorEastAsia"/>
                <w:sz w:val="18"/>
                <w:szCs w:val="18"/>
              </w:rPr>
              <w:t>公文写作</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6"/>
                <w:szCs w:val="16"/>
              </w:rPr>
              <w:t>2</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6"/>
                <w:szCs w:val="16"/>
              </w:rPr>
              <w:t>36</w:t>
            </w:r>
          </w:p>
        </w:tc>
        <w:tc>
          <w:tcPr>
            <w:tcW w:w="2113" w:type="dxa"/>
            <w:vAlign w:val="center"/>
          </w:tcPr>
          <w:p>
            <w:pPr>
              <w:rPr>
                <w:sz w:val="18"/>
                <w:szCs w:val="18"/>
              </w:rPr>
            </w:pPr>
            <w:r>
              <w:rPr>
                <w:rFonts w:hint="eastAsia" w:asciiTheme="minorEastAsia" w:hAnsiTheme="minorEastAsia"/>
                <w:sz w:val="18"/>
                <w:szCs w:val="18"/>
              </w:rPr>
              <w:t>通过本课程的学习，使学生掌握公文写作的基本技能，了解公文的种类、体式稿本、行为规范、写作要求，培养和提高撰写公文和处理公文的能力，毕业后有较强的公文写作能力。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1.本课程主要内容：公文、公文写作、公文的体式与稿本、公文的行为规范、公文写作等。</w:t>
            </w:r>
          </w:p>
          <w:p>
            <w:pPr>
              <w:rPr>
                <w:rFonts w:asciiTheme="minorEastAsia" w:hAnsiTheme="minorEastAsia"/>
                <w:sz w:val="18"/>
                <w:szCs w:val="18"/>
              </w:rPr>
            </w:pPr>
            <w:r>
              <w:rPr>
                <w:rFonts w:hint="eastAsia" w:asciiTheme="minorEastAsia" w:hAnsiTheme="minorEastAsia"/>
                <w:sz w:val="18"/>
                <w:szCs w:val="18"/>
              </w:rPr>
              <w:t>2.课程采用理论教学的方式。</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14</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工业网络控制技术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52</w:t>
            </w:r>
          </w:p>
        </w:tc>
        <w:tc>
          <w:tcPr>
            <w:tcW w:w="2113" w:type="dxa"/>
            <w:vAlign w:val="center"/>
          </w:tcPr>
          <w:p>
            <w:pPr>
              <w:rPr>
                <w:rFonts w:asciiTheme="minorEastAsia" w:hAnsiTheme="minorEastAsia"/>
                <w:sz w:val="18"/>
                <w:szCs w:val="18"/>
              </w:rPr>
            </w:pPr>
            <w:r>
              <w:rPr>
                <w:rFonts w:hint="eastAsia"/>
                <w:sz w:val="18"/>
                <w:szCs w:val="18"/>
              </w:rPr>
              <w:t>通过课程的学习使学生掌握工业网络的基本原理和设计，</w:t>
            </w:r>
            <w:r>
              <w:rPr>
                <w:sz w:val="18"/>
                <w:szCs w:val="18"/>
              </w:rPr>
              <w:t>同时</w:t>
            </w:r>
            <w:r>
              <w:rPr>
                <w:rFonts w:hint="eastAsia"/>
                <w:sz w:val="18"/>
                <w:szCs w:val="18"/>
              </w:rPr>
              <w:t>培养</w:t>
            </w:r>
            <w:r>
              <w:rPr>
                <w:sz w:val="18"/>
                <w:szCs w:val="18"/>
              </w:rPr>
              <w:t>学生</w:t>
            </w:r>
            <w:r>
              <w:rPr>
                <w:rFonts w:hint="eastAsia"/>
                <w:sz w:val="18"/>
                <w:szCs w:val="18"/>
              </w:rPr>
              <w:t>发现</w:t>
            </w:r>
            <w:r>
              <w:rPr>
                <w:sz w:val="18"/>
                <w:szCs w:val="18"/>
              </w:rPr>
              <w:t>问题、分析问题和解决问题的能力，培养学生整体思维</w:t>
            </w:r>
            <w:r>
              <w:rPr>
                <w:rFonts w:hint="eastAsia"/>
                <w:sz w:val="18"/>
                <w:szCs w:val="18"/>
              </w:rPr>
              <w:t>、</w:t>
            </w:r>
            <w:r>
              <w:rPr>
                <w:sz w:val="18"/>
                <w:szCs w:val="18"/>
              </w:rPr>
              <w:t>融会贯通、学会学习的能力</w:t>
            </w:r>
            <w:r>
              <w:rPr>
                <w:rFonts w:hint="eastAsia"/>
                <w:sz w:val="18"/>
                <w:szCs w:val="18"/>
              </w:rPr>
              <w:t>。</w:t>
            </w:r>
          </w:p>
        </w:tc>
        <w:tc>
          <w:tcPr>
            <w:tcW w:w="2002" w:type="dxa"/>
            <w:vAlign w:val="center"/>
          </w:tcPr>
          <w:p>
            <w:pPr>
              <w:rPr>
                <w:sz w:val="18"/>
                <w:szCs w:val="18"/>
              </w:rPr>
            </w:pPr>
            <w:r>
              <w:rPr>
                <w:rFonts w:hint="eastAsia" w:asciiTheme="minorEastAsia" w:hAnsiTheme="minorEastAsia"/>
                <w:sz w:val="18"/>
                <w:szCs w:val="18"/>
              </w:rPr>
              <w:t>1.</w:t>
            </w:r>
            <w:r>
              <w:rPr>
                <w:rFonts w:hint="eastAsia"/>
                <w:sz w:val="18"/>
                <w:szCs w:val="18"/>
              </w:rPr>
              <w:t>课程的教学内容工业网路基本原理、应用等。2.课程教学以线上线下相结合的方式进行，理论和实操相结合，鼓励学生自行学习练习，在做中学，在学中做。</w:t>
            </w:r>
          </w:p>
          <w:p>
            <w:pPr>
              <w:rPr>
                <w:rFonts w:asciiTheme="minorEastAsia" w:hAnsiTheme="minorEastAsia"/>
                <w:sz w:val="18"/>
                <w:szCs w:val="18"/>
              </w:rPr>
            </w:pPr>
            <w:r>
              <w:rPr>
                <w:rFonts w:hint="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22</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tcBorders>
              <w:top w:val="nil"/>
              <w:left w:val="nil"/>
              <w:bottom w:val="single" w:color="auto" w:sz="4" w:space="0"/>
              <w:right w:val="nil"/>
            </w:tcBorders>
            <w:shd w:val="clear" w:color="000000" w:fill="FFFFFF"/>
            <w:vAlign w:val="center"/>
          </w:tcPr>
          <w:p>
            <w:pPr>
              <w:rPr>
                <w:rFonts w:asciiTheme="minorEastAsia" w:hAnsiTheme="minorEastAsia"/>
                <w:sz w:val="18"/>
                <w:szCs w:val="18"/>
              </w:rPr>
            </w:pPr>
            <w:r>
              <w:rPr>
                <w:rFonts w:hint="eastAsia" w:asciiTheme="minorEastAsia" w:hAnsiTheme="minorEastAsia"/>
                <w:sz w:val="18"/>
                <w:szCs w:val="18"/>
              </w:rPr>
              <w:t>数字孪生技术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6"/>
                <w:szCs w:val="16"/>
              </w:rPr>
              <w:t>3</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6"/>
                <w:szCs w:val="16"/>
              </w:rPr>
              <w:t>54</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本课程的学习，使学生掌握采用工业仿真软件实现虚拟和现实的交互技术。能对包含多物理场以及通常存在于机电一体化产品中的自动化相关行为的概念进行3D建模和仿真。培养学生的创新设计理念和设计能力。</w:t>
            </w:r>
          </w:p>
        </w:tc>
        <w:tc>
          <w:tcPr>
            <w:tcW w:w="2002" w:type="dxa"/>
            <w:vAlign w:val="center"/>
          </w:tcPr>
          <w:p>
            <w:pPr>
              <w:ind w:left="180" w:hanging="180" w:hangingChars="100"/>
              <w:rPr>
                <w:rFonts w:asciiTheme="minorEastAsia" w:hAnsiTheme="minorEastAsia"/>
                <w:sz w:val="18"/>
                <w:szCs w:val="18"/>
              </w:rPr>
            </w:pPr>
            <w:r>
              <w:rPr>
                <w:rFonts w:hint="eastAsia" w:asciiTheme="minorEastAsia" w:hAnsiTheme="minorEastAsia"/>
                <w:sz w:val="18"/>
                <w:szCs w:val="18"/>
              </w:rPr>
              <w:t xml:space="preserve">1.本课程主要内容：UG NX12.0的机电概念设计（MCD）软件平台认识与实践；机电设备控制系统MCD应用实例； </w:t>
            </w:r>
          </w:p>
          <w:p>
            <w:pPr>
              <w:rPr>
                <w:rFonts w:asciiTheme="minorEastAsia" w:hAnsiTheme="minorEastAsia"/>
                <w:sz w:val="18"/>
                <w:szCs w:val="18"/>
              </w:rPr>
            </w:pPr>
            <w:r>
              <w:rPr>
                <w:rFonts w:hint="eastAsia" w:asciiTheme="minorEastAsia" w:hAnsiTheme="minorEastAsia"/>
                <w:sz w:val="18"/>
                <w:szCs w:val="18"/>
              </w:rPr>
              <w:t>2.课程采用理论与实验交叉教学的方式，在掌握理论的基础上，训练学生的应用能力。</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24</w:t>
            </w:r>
            <w:r>
              <w:rPr>
                <w:rFonts w:hint="eastAsia" w:asciiTheme="minorEastAsia" w:hAnsiTheme="minorEastAsia"/>
                <w:sz w:val="18"/>
                <w:szCs w:val="18"/>
              </w:rPr>
              <w:t>学时</w:t>
            </w:r>
          </w:p>
        </w:tc>
      </w:tr>
    </w:tbl>
    <w:p>
      <w:pPr>
        <w:pStyle w:val="4"/>
        <w:spacing w:before="234" w:after="234"/>
        <w:ind w:left="420"/>
        <w:rPr>
          <w:rFonts w:hint="eastAsia" w:eastAsia="仿宋"/>
          <w:lang w:val="en-US" w:eastAsia="zh-CN"/>
        </w:rPr>
      </w:pPr>
      <w:bookmarkStart w:id="20" w:name="_Toc89793280"/>
      <w:r>
        <w:rPr>
          <w:rFonts w:hint="eastAsia"/>
          <w:lang w:val="en-US" w:eastAsia="zh-CN"/>
        </w:rPr>
        <w:t>4</w:t>
      </w:r>
      <w:r>
        <w:rPr>
          <w:rFonts w:hint="eastAsia"/>
        </w:rPr>
        <w:t>.</w:t>
      </w:r>
      <w:r>
        <w:rPr>
          <w:rFonts w:hint="eastAsia"/>
          <w:lang w:val="en-US" w:eastAsia="zh-CN"/>
        </w:rPr>
        <w:t>学徒岗位能力</w:t>
      </w:r>
      <w:r>
        <w:rPr>
          <w:rFonts w:hint="eastAsia"/>
        </w:rPr>
        <w:t>课</w:t>
      </w:r>
      <w:r>
        <w:rPr>
          <w:rFonts w:hint="eastAsia"/>
          <w:lang w:val="en-US" w:eastAsia="zh-CN"/>
        </w:rPr>
        <w:t>程</w:t>
      </w:r>
    </w:p>
    <w:p>
      <w:pPr>
        <w:ind w:firstLine="420" w:firstLineChars="200"/>
      </w:pPr>
      <w:r>
        <w:rPr>
          <w:rFonts w:hint="eastAsia"/>
        </w:rPr>
        <w:t>本专业开设的</w:t>
      </w:r>
      <w:r>
        <w:rPr>
          <w:rFonts w:hint="eastAsia"/>
          <w:lang w:val="en-US" w:eastAsia="zh-CN"/>
        </w:rPr>
        <w:t>学徒岗位能力</w:t>
      </w:r>
      <w:r>
        <w:rPr>
          <w:rFonts w:hint="eastAsia"/>
        </w:rPr>
        <w:t>课</w:t>
      </w:r>
      <w:r>
        <w:rPr>
          <w:rFonts w:hint="eastAsia"/>
          <w:lang w:val="en-US" w:eastAsia="zh-CN"/>
        </w:rPr>
        <w:t>程</w:t>
      </w:r>
      <w:r>
        <w:rPr>
          <w:rFonts w:hint="eastAsia"/>
        </w:rPr>
        <w:t>见</w:t>
      </w:r>
      <w:r>
        <w:rPr>
          <w:rFonts w:hint="eastAsia"/>
          <w:lang w:val="en-US" w:eastAsia="zh-CN"/>
        </w:rPr>
        <w:t>下</w:t>
      </w:r>
      <w:r>
        <w:rPr>
          <w:rFonts w:hint="eastAsia"/>
        </w:rPr>
        <w:t>表。</w:t>
      </w:r>
    </w:p>
    <w:tbl>
      <w:tblPr>
        <w:tblW w:w="96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0"/>
        <w:gridCol w:w="222"/>
        <w:gridCol w:w="2916"/>
        <w:gridCol w:w="905"/>
        <w:gridCol w:w="662"/>
        <w:gridCol w:w="1500"/>
        <w:gridCol w:w="1081"/>
        <w:gridCol w:w="1203"/>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6"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bdr w:val="none" w:color="auto" w:sz="0" w:space="0"/>
                <w:lang w:val="en-US" w:eastAsia="zh-CN" w:bidi="ar"/>
              </w:rPr>
              <w:t>学徒岗位能力课程</w:t>
            </w:r>
          </w:p>
        </w:tc>
        <w:tc>
          <w:tcPr>
            <w:tcW w:w="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工业机器人运维实习★</w:t>
            </w:r>
          </w:p>
        </w:tc>
        <w:tc>
          <w:tcPr>
            <w:tcW w:w="9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1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2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8"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自动生产线运维实习★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毕业综合实训和生产（顶岗）实习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考查</w:t>
            </w:r>
          </w:p>
        </w:tc>
      </w:tr>
    </w:tbl>
    <w:p>
      <w:pPr>
        <w:pStyle w:val="3"/>
      </w:pPr>
      <w:r>
        <w:rPr>
          <w:rFonts w:hint="eastAsia"/>
        </w:rPr>
        <w:t>（三）各类课程学时学分比例表</w:t>
      </w:r>
      <w:bookmarkEnd w:id="20"/>
    </w:p>
    <w:p>
      <w:pPr>
        <w:ind w:firstLine="420" w:firstLineChars="200"/>
        <w:rPr>
          <w:rFonts w:hint="eastAsia"/>
        </w:rPr>
      </w:pPr>
      <w:r>
        <w:rPr>
          <w:rFonts w:hint="eastAsia"/>
        </w:rPr>
        <w:t>本专业各类课程学时学分比例见表8。</w:t>
      </w:r>
    </w:p>
    <w:p>
      <w:pPr>
        <w:jc w:val="center"/>
      </w:pPr>
      <w:r>
        <w:rPr>
          <w:rFonts w:hint="eastAsia"/>
        </w:rPr>
        <w:t>表8</w:t>
      </w:r>
      <w:r>
        <w:t xml:space="preserve"> </w:t>
      </w:r>
      <w:r>
        <w:rPr>
          <w:rFonts w:hint="eastAsia"/>
        </w:rPr>
        <w:t>各类课程学时学分比例表</w:t>
      </w:r>
    </w:p>
    <w:tbl>
      <w:tblPr>
        <w:tblW w:w="8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4"/>
        <w:gridCol w:w="1075"/>
        <w:gridCol w:w="1074"/>
        <w:gridCol w:w="1074"/>
        <w:gridCol w:w="1206"/>
        <w:gridCol w:w="1074"/>
        <w:gridCol w:w="1206"/>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3223" w:type="dxa"/>
            <w:gridSpan w:val="3"/>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21" w:name="_Toc89793281"/>
            <w:r>
              <w:rPr>
                <w:rFonts w:hint="eastAsia" w:ascii="宋体" w:hAnsi="宋体" w:eastAsia="宋体" w:cs="宋体"/>
                <w:i w:val="0"/>
                <w:iCs w:val="0"/>
                <w:color w:val="000000"/>
                <w:kern w:val="0"/>
                <w:sz w:val="18"/>
                <w:szCs w:val="18"/>
                <w:u w:val="none"/>
                <w:bdr w:val="none" w:color="auto" w:sz="0" w:space="0"/>
                <w:lang w:val="en-US" w:eastAsia="zh-CN" w:bidi="ar"/>
              </w:rPr>
              <w:t>课程类别</w:t>
            </w:r>
          </w:p>
        </w:tc>
        <w:tc>
          <w:tcPr>
            <w:tcW w:w="2280" w:type="dxa"/>
            <w:gridSpan w:val="2"/>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2280" w:type="dxa"/>
            <w:gridSpan w:val="2"/>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0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3223" w:type="dxa"/>
            <w:gridSpan w:val="3"/>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学时</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比例（%）</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学分</w:t>
            </w:r>
          </w:p>
        </w:tc>
        <w:tc>
          <w:tcPr>
            <w:tcW w:w="120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比例（%）</w:t>
            </w:r>
          </w:p>
        </w:tc>
        <w:tc>
          <w:tcPr>
            <w:tcW w:w="1075" w:type="dxa"/>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4" w:hRule="atLeast"/>
        </w:trPr>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必修课</w:t>
            </w:r>
          </w:p>
        </w:tc>
        <w:tc>
          <w:tcPr>
            <w:tcW w:w="2149" w:type="dxa"/>
            <w:gridSpan w:val="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公共必修课</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21.44 </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20.07 </w:t>
            </w:r>
          </w:p>
        </w:tc>
        <w:tc>
          <w:tcPr>
            <w:tcW w:w="1075" w:type="dxa"/>
            <w:tcBorders>
              <w:top w:val="single" w:color="000000" w:sz="8" w:space="0"/>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074"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选修课</w:t>
            </w:r>
          </w:p>
        </w:tc>
        <w:tc>
          <w:tcPr>
            <w:tcW w:w="2149" w:type="dxa"/>
            <w:gridSpan w:val="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公共选修课</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2.37 </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2.77 </w:t>
            </w:r>
          </w:p>
        </w:tc>
        <w:tc>
          <w:tcPr>
            <w:tcW w:w="1075" w:type="dxa"/>
            <w:tcBorders>
              <w:top w:val="nil"/>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074"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49" w:type="dxa"/>
            <w:gridSpan w:val="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限定选修课</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5.61 </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6.57 </w:t>
            </w:r>
          </w:p>
        </w:tc>
        <w:tc>
          <w:tcPr>
            <w:tcW w:w="1075" w:type="dxa"/>
            <w:tcBorders>
              <w:top w:val="nil"/>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074"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49" w:type="dxa"/>
            <w:gridSpan w:val="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专业技术方向课</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1379</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45.48 </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41.87 </w:t>
            </w:r>
          </w:p>
        </w:tc>
        <w:tc>
          <w:tcPr>
            <w:tcW w:w="1075" w:type="dxa"/>
            <w:tcBorders>
              <w:top w:val="nil"/>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1074"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49" w:type="dxa"/>
            <w:gridSpan w:val="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专业拓展课</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761</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25.10 </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28.72 </w:t>
            </w:r>
          </w:p>
        </w:tc>
        <w:tc>
          <w:tcPr>
            <w:tcW w:w="1075" w:type="dxa"/>
            <w:tcBorders>
              <w:top w:val="nil"/>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3223" w:type="dxa"/>
            <w:gridSpan w:val="3"/>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w:t>
            </w:r>
            <w:r>
              <w:rPr>
                <w:rStyle w:val="35"/>
                <w:bdr w:val="none" w:color="auto" w:sz="0" w:space="0"/>
                <w:lang w:val="en-US" w:eastAsia="zh-CN" w:bidi="ar"/>
              </w:rPr>
              <w:t xml:space="preserve">   计</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3032</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144.5</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1075" w:type="dxa"/>
            <w:tcBorders>
              <w:top w:val="nil"/>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2149" w:type="dxa"/>
            <w:gridSpan w:val="2"/>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理论实践教学比</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理论教学</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1181</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38.95 </w:t>
            </w:r>
          </w:p>
        </w:tc>
        <w:tc>
          <w:tcPr>
            <w:tcW w:w="107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20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75" w:type="dxa"/>
            <w:tcBorders>
              <w:top w:val="single" w:color="000000" w:sz="8" w:space="0"/>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3" w:hRule="atLeast"/>
        </w:trPr>
        <w:tc>
          <w:tcPr>
            <w:tcW w:w="2149" w:type="dxa"/>
            <w:gridSpan w:val="2"/>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实践教学</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1660</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54.75 </w:t>
            </w:r>
          </w:p>
        </w:tc>
        <w:tc>
          <w:tcPr>
            <w:tcW w:w="107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2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75" w:type="dxa"/>
            <w:tcBorders>
              <w:top w:val="nil"/>
              <w:left w:val="single" w:color="000000" w:sz="8" w:space="0"/>
              <w:bottom w:val="single" w:color="000000" w:sz="8" w:space="0"/>
              <w:right w:val="single" w:color="000000" w:sz="8" w:space="0"/>
            </w:tcBorders>
            <w:shd w:val="clear"/>
            <w:vAlign w:val="center"/>
          </w:tcPr>
          <w:p>
            <w:pPr>
              <w:jc w:val="both"/>
              <w:rPr>
                <w:rFonts w:hint="eastAsia" w:ascii="宋体" w:hAnsi="宋体" w:eastAsia="宋体" w:cs="宋体"/>
                <w:b/>
                <w:bCs/>
                <w:i w:val="0"/>
                <w:iCs w:val="0"/>
                <w:color w:val="000000"/>
                <w:sz w:val="18"/>
                <w:szCs w:val="18"/>
                <w:u w:val="none"/>
              </w:rPr>
            </w:pPr>
          </w:p>
        </w:tc>
      </w:tr>
    </w:tbl>
    <w:p>
      <w:pPr>
        <w:pStyle w:val="2"/>
      </w:pPr>
      <w:r>
        <w:rPr>
          <w:rFonts w:hint="eastAsia"/>
        </w:rPr>
        <w:t>七、教学进程总体安排</w:t>
      </w:r>
      <w:bookmarkEnd w:id="21"/>
    </w:p>
    <w:p>
      <w:pPr>
        <w:pStyle w:val="3"/>
      </w:pPr>
      <w:bookmarkStart w:id="22" w:name="_Toc89793282"/>
      <w:r>
        <w:rPr>
          <w:rFonts w:hint="eastAsia"/>
        </w:rPr>
        <w:t>（一）专业教学计划表</w:t>
      </w:r>
      <w:bookmarkEnd w:id="22"/>
    </w:p>
    <w:p>
      <w:pPr>
        <w:ind w:firstLine="420" w:firstLineChars="200"/>
      </w:pPr>
      <w:r>
        <w:rPr>
          <w:rFonts w:hint="eastAsia"/>
        </w:rPr>
        <w:t>本专业教学计划安排见表9（附后）。</w:t>
      </w:r>
    </w:p>
    <w:p>
      <w:pPr>
        <w:widowControl/>
        <w:jc w:val="left"/>
      </w:pPr>
      <w:r>
        <w:br w:type="page"/>
      </w:r>
    </w:p>
    <w:p>
      <w:pPr>
        <w:pStyle w:val="3"/>
      </w:pPr>
      <w:bookmarkStart w:id="23" w:name="_Toc89793283"/>
      <w:r>
        <w:rPr>
          <w:rFonts w:hint="eastAsia"/>
        </w:rPr>
        <w:t>（二）专业教育教学活动时间安排表</w:t>
      </w:r>
      <w:bookmarkEnd w:id="23"/>
    </w:p>
    <w:p>
      <w:pPr>
        <w:ind w:firstLine="420" w:firstLineChars="200"/>
      </w:pPr>
      <w:r>
        <w:rPr>
          <w:rFonts w:hint="eastAsia"/>
        </w:rPr>
        <w:t>本专业教育教学活动时间安排见表10。</w:t>
      </w:r>
    </w:p>
    <w:p>
      <w:pPr>
        <w:jc w:val="center"/>
      </w:pPr>
      <w:r>
        <w:rPr>
          <w:rFonts w:hint="eastAsia"/>
        </w:rPr>
        <w:t>表10</w:t>
      </w:r>
      <w:r>
        <w:t xml:space="preserve"> </w:t>
      </w:r>
      <w:r>
        <w:rPr>
          <w:rFonts w:hint="eastAsia"/>
        </w:rPr>
        <w:t>专业教育教学活动时间安排表</w:t>
      </w:r>
    </w:p>
    <w:tbl>
      <w:tblPr>
        <w:tblStyle w:val="1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31"/>
        <w:gridCol w:w="2120"/>
        <w:gridCol w:w="720"/>
        <w:gridCol w:w="774"/>
        <w:gridCol w:w="766"/>
        <w:gridCol w:w="685"/>
        <w:gridCol w:w="630"/>
        <w:gridCol w:w="68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restart"/>
            <w:vAlign w:val="center"/>
          </w:tcPr>
          <w:p>
            <w:pPr>
              <w:rPr>
                <w:rFonts w:asciiTheme="minorEastAsia" w:hAnsiTheme="minorEastAsia"/>
                <w:sz w:val="18"/>
                <w:szCs w:val="18"/>
              </w:rPr>
            </w:pPr>
            <w:r>
              <w:rPr>
                <w:rFonts w:hint="eastAsia" w:asciiTheme="minorEastAsia" w:hAnsiTheme="minorEastAsia"/>
                <w:sz w:val="18"/>
                <w:szCs w:val="18"/>
              </w:rPr>
              <w:t>序号</w:t>
            </w:r>
          </w:p>
        </w:tc>
        <w:tc>
          <w:tcPr>
            <w:tcW w:w="3051"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教育教学活动</w:t>
            </w:r>
          </w:p>
        </w:tc>
        <w:tc>
          <w:tcPr>
            <w:tcW w:w="4264" w:type="dxa"/>
            <w:gridSpan w:val="6"/>
            <w:vAlign w:val="center"/>
          </w:tcPr>
          <w:p>
            <w:pPr>
              <w:jc w:val="center"/>
              <w:rPr>
                <w:rFonts w:asciiTheme="minorEastAsia" w:hAnsiTheme="minorEastAsia"/>
                <w:sz w:val="18"/>
                <w:szCs w:val="18"/>
              </w:rPr>
            </w:pPr>
            <w:r>
              <w:rPr>
                <w:rFonts w:hint="eastAsia" w:asciiTheme="minorEastAsia" w:hAnsiTheme="minorEastAsia"/>
                <w:sz w:val="18"/>
                <w:szCs w:val="18"/>
              </w:rPr>
              <w:t>各学期时间分配（周）</w:t>
            </w:r>
          </w:p>
        </w:tc>
        <w:tc>
          <w:tcPr>
            <w:tcW w:w="1023"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vAlign w:val="center"/>
          </w:tcPr>
          <w:p>
            <w:pPr>
              <w:rPr>
                <w:rFonts w:asciiTheme="minorEastAsia" w:hAnsiTheme="minorEastAsia"/>
                <w:sz w:val="18"/>
                <w:szCs w:val="18"/>
              </w:rPr>
            </w:pPr>
          </w:p>
        </w:tc>
        <w:tc>
          <w:tcPr>
            <w:tcW w:w="3051" w:type="dxa"/>
            <w:gridSpan w:val="2"/>
            <w:vMerge w:val="continue"/>
            <w:vAlign w:val="center"/>
          </w:tcPr>
          <w:p>
            <w:pPr>
              <w:rPr>
                <w:rFonts w:asciiTheme="minorEastAsia" w:hAnsiTheme="minorEastAsia"/>
                <w:sz w:val="18"/>
                <w:szCs w:val="18"/>
              </w:rPr>
            </w:pP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一</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二</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三</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四</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五</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六</w:t>
            </w:r>
          </w:p>
        </w:tc>
        <w:tc>
          <w:tcPr>
            <w:tcW w:w="1023"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931" w:type="dxa"/>
            <w:vAlign w:val="center"/>
          </w:tcPr>
          <w:p>
            <w:pPr>
              <w:rPr>
                <w:rFonts w:asciiTheme="minorEastAsia" w:hAnsiTheme="minorEastAsia"/>
                <w:sz w:val="18"/>
                <w:szCs w:val="18"/>
              </w:rPr>
            </w:pPr>
            <w:r>
              <w:rPr>
                <w:rFonts w:hint="eastAsia" w:asciiTheme="minorEastAsia" w:hAnsiTheme="minorEastAsia"/>
                <w:sz w:val="18"/>
                <w:szCs w:val="18"/>
              </w:rPr>
              <w:t>教学活动时间</w:t>
            </w: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理论教学、实践教学、职业技能等级证书培训</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931" w:type="dxa"/>
            <w:vMerge w:val="restart"/>
            <w:vAlign w:val="center"/>
          </w:tcPr>
          <w:p>
            <w:pPr>
              <w:rPr>
                <w:rFonts w:asciiTheme="minorEastAsia" w:hAnsiTheme="minorEastAsia"/>
                <w:sz w:val="18"/>
                <w:szCs w:val="18"/>
              </w:rPr>
            </w:pPr>
            <w:r>
              <w:rPr>
                <w:rFonts w:hint="eastAsia" w:asciiTheme="minorEastAsia" w:hAnsiTheme="minorEastAsia"/>
                <w:sz w:val="18"/>
                <w:szCs w:val="18"/>
              </w:rPr>
              <w:t>其它教育活动时间</w:t>
            </w: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课程考核</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9" w:type="dxa"/>
            <w:vAlign w:val="center"/>
          </w:tcPr>
          <w:p>
            <w:pPr>
              <w:jc w:val="center"/>
              <w:rPr>
                <w:rFonts w:asciiTheme="minorEastAsia" w:hAnsiTheme="minorEastAsia"/>
                <w:sz w:val="18"/>
                <w:szCs w:val="18"/>
              </w:rPr>
            </w:pP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931" w:type="dxa"/>
            <w:vMerge w:val="continue"/>
            <w:vAlign w:val="center"/>
          </w:tcPr>
          <w:p>
            <w:pPr>
              <w:rPr>
                <w:rFonts w:asciiTheme="minorEastAsia" w:hAnsiTheme="minorEastAsia"/>
                <w:sz w:val="18"/>
                <w:szCs w:val="18"/>
              </w:rPr>
            </w:pP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机动</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931" w:type="dxa"/>
            <w:vMerge w:val="continue"/>
            <w:vAlign w:val="center"/>
          </w:tcPr>
          <w:p>
            <w:pPr>
              <w:rPr>
                <w:rFonts w:asciiTheme="minorEastAsia" w:hAnsiTheme="minorEastAsia"/>
                <w:sz w:val="18"/>
                <w:szCs w:val="18"/>
              </w:rPr>
            </w:pP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入学教育、军事技能训练</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9" w:type="dxa"/>
            <w:vAlign w:val="center"/>
          </w:tcPr>
          <w:p>
            <w:pPr>
              <w:jc w:val="center"/>
              <w:rPr>
                <w:rFonts w:asciiTheme="minorEastAsia" w:hAnsiTheme="minorEastAsia"/>
                <w:sz w:val="18"/>
                <w:szCs w:val="18"/>
              </w:rPr>
            </w:pP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931" w:type="dxa"/>
            <w:vMerge w:val="continue"/>
            <w:vAlign w:val="center"/>
          </w:tcPr>
          <w:p>
            <w:pPr>
              <w:rPr>
                <w:rFonts w:asciiTheme="minorEastAsia" w:hAnsiTheme="minorEastAsia"/>
                <w:sz w:val="18"/>
                <w:szCs w:val="18"/>
              </w:rPr>
            </w:pP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毕业教育、毕业离校</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3"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合计</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120</w:t>
            </w:r>
          </w:p>
        </w:tc>
      </w:tr>
    </w:tbl>
    <w:p>
      <w:pPr>
        <w:pStyle w:val="2"/>
      </w:pPr>
      <w:bookmarkStart w:id="24" w:name="_Toc89793284"/>
      <w:r>
        <w:rPr>
          <w:rFonts w:hint="eastAsia"/>
        </w:rPr>
        <w:t>八、实施保障</w:t>
      </w:r>
      <w:bookmarkEnd w:id="24"/>
    </w:p>
    <w:p>
      <w:pPr>
        <w:pStyle w:val="3"/>
      </w:pPr>
      <w:bookmarkStart w:id="25" w:name="_Toc89793285"/>
      <w:r>
        <w:rPr>
          <w:rFonts w:hint="eastAsia"/>
        </w:rPr>
        <w:t>（一）师资队伍</w:t>
      </w:r>
      <w:bookmarkEnd w:id="25"/>
    </w:p>
    <w:p>
      <w:pPr>
        <w:ind w:firstLine="420" w:firstLineChars="200"/>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团队的专兼职教师结构</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校内实训基地进行的专业职业能力学习领域课程的企业兼职教师占上课教师总数的比例不低于15%，校外实训基地进行的专业职业能力学习领域课程的企业兼职教师占上课教师总数的比例不低于80%。</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团队的双师结构</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本专业“双师型”教师高于60%， “双师素质”教师（具备相关专业职业资格证书或企业经历）的比例达到100%。</w:t>
      </w:r>
    </w:p>
    <w:p>
      <w:pPr>
        <w:ind w:firstLine="420" w:firstLineChars="200"/>
        <w:jc w:val="left"/>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师生比</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在校生与该专业的专任教师之比低于25:1（不含公共课）。</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团队的年龄结构</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教学团队的在年龄结构上老、中、青分布合理，形成梯队。</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任课教师的要求</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.1</w:t>
      </w:r>
      <w:r>
        <w:rPr>
          <w:rFonts w:hint="eastAsia" w:asciiTheme="majorEastAsia" w:hAnsiTheme="majorEastAsia" w:eastAsiaTheme="majorEastAsia"/>
        </w:rPr>
        <w:t>任课教师的学历、职称要求</w:t>
      </w:r>
    </w:p>
    <w:p>
      <w:pPr>
        <w:ind w:firstLine="630" w:firstLineChars="300"/>
        <w:rPr>
          <w:rFonts w:asciiTheme="majorEastAsia" w:hAnsiTheme="majorEastAsia" w:eastAsiaTheme="majorEastAsia"/>
        </w:rPr>
      </w:pPr>
      <w:r>
        <w:rPr>
          <w:rFonts w:hint="eastAsia" w:asciiTheme="majorEastAsia" w:hAnsiTheme="majorEastAsia" w:eastAsiaTheme="majorEastAsia"/>
        </w:rPr>
        <w:t>具备本专业大学本科以上学历（含本科）或具有本专业技师以上资格证书，并接受过职业教育教学方法论的培训。</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.2</w:t>
      </w:r>
      <w:r>
        <w:rPr>
          <w:rFonts w:hint="eastAsia" w:asciiTheme="majorEastAsia" w:hAnsiTheme="majorEastAsia" w:eastAsiaTheme="majorEastAsia"/>
        </w:rPr>
        <w:t>任课教师的专业职业资格证书要求</w:t>
      </w:r>
    </w:p>
    <w:p>
      <w:pPr>
        <w:ind w:firstLine="630" w:firstLineChars="300"/>
        <w:rPr>
          <w:rFonts w:asciiTheme="majorEastAsia" w:hAnsiTheme="majorEastAsia" w:eastAsiaTheme="majorEastAsia"/>
        </w:rPr>
      </w:pPr>
      <w:r>
        <w:rPr>
          <w:rFonts w:hint="eastAsia" w:asciiTheme="majorEastAsia" w:hAnsiTheme="majorEastAsia" w:eastAsiaTheme="majorEastAsia"/>
        </w:rPr>
        <w:t>专任专业实训教师要具备相关工种高级工以上的资格证书（含高级工）或本专业工程师资格，但必须来自企业生产一线，工作3年以上（含3年）。</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.3</w:t>
      </w:r>
      <w:r>
        <w:rPr>
          <w:rFonts w:hint="eastAsia" w:asciiTheme="majorEastAsia" w:hAnsiTheme="majorEastAsia" w:eastAsiaTheme="majorEastAsia"/>
        </w:rPr>
        <w:t>任课教师的其它能力要求（如指导实训能力）</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专任专业教师应接受过职业教育教学方法论的培训，具有课程开发的能力，可以实施“教学做”一体化教学。</w:t>
      </w:r>
    </w:p>
    <w:p>
      <w:pPr>
        <w:ind w:firstLine="420" w:firstLineChars="200"/>
        <w:rPr>
          <w:rFonts w:asciiTheme="majorEastAsia" w:hAnsiTheme="majorEastAsia" w:eastAsiaTheme="majorEastAsia"/>
        </w:rPr>
      </w:pPr>
    </w:p>
    <w:p>
      <w:pPr>
        <w:pStyle w:val="3"/>
      </w:pPr>
      <w:bookmarkStart w:id="26" w:name="_Toc89793286"/>
      <w:r>
        <w:rPr>
          <w:rFonts w:hint="eastAsia"/>
        </w:rPr>
        <w:t>（二）教学设施</w:t>
      </w:r>
      <w:bookmarkEnd w:id="26"/>
    </w:p>
    <w:p>
      <w:pPr>
        <w:ind w:firstLine="420" w:firstLineChars="20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校内实训基地</w:t>
      </w:r>
    </w:p>
    <w:p>
      <w:pPr>
        <w:ind w:firstLine="420" w:firstLineChars="200"/>
      </w:pPr>
      <w:r>
        <w:rPr>
          <w:rFonts w:hint="eastAsia" w:ascii="宋体" w:hAnsi="宋体"/>
        </w:rPr>
        <w:t xml:space="preserve">                         </w:t>
      </w:r>
      <w:r>
        <w:rPr>
          <w:rFonts w:hint="eastAsia"/>
        </w:rPr>
        <w:t xml:space="preserve"> 表1</w:t>
      </w:r>
      <w:r>
        <w:t>1</w:t>
      </w:r>
      <w:r>
        <w:rPr>
          <w:rFonts w:hint="eastAsia"/>
        </w:rPr>
        <w:t xml:space="preserve">  校内实训基地</w:t>
      </w:r>
    </w:p>
    <w:tbl>
      <w:tblPr>
        <w:tblStyle w:val="1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646"/>
        <w:gridCol w:w="2098"/>
        <w:gridCol w:w="1730"/>
        <w:gridCol w:w="1327"/>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学习领域课程</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教学场地</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主要设备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设备数量</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场地要求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机械图纸绘制</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机械工程基础实训室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常用量具</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60套/课程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电工基础技能</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电工电子基础实训室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电工实训设备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60个工作台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计算机辅助绘图</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机械模型CAI室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电脑、CAD软件</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电子技术</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电工电子基础实训室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电子实训设备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60个工作台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机械设备与机构的认识</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机械模型室及机械工程基础实训室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机械传动模型</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5个标准工作台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电子CAD（Prote1 DXP 2004）</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机房</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电脑、CAD软件</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简单机械零件设备制造</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机械模型室及机械工程基础实训室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机械传动模型</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电机的认识与使用</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机床控制实训室</w:t>
            </w:r>
          </w:p>
          <w:p>
            <w:pPr>
              <w:jc w:val="center"/>
              <w:rPr>
                <w:rFonts w:asciiTheme="minorEastAsia" w:hAnsiTheme="minorEastAsia"/>
                <w:sz w:val="18"/>
                <w:szCs w:val="18"/>
              </w:rPr>
            </w:pPr>
            <w:r>
              <w:rPr>
                <w:rFonts w:hint="eastAsia" w:asciiTheme="minorEastAsia" w:hAnsiTheme="minorEastAsia"/>
                <w:sz w:val="18"/>
                <w:szCs w:val="18"/>
              </w:rPr>
              <w:t>数控系统综合实训室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机床控制柜</w:t>
            </w:r>
          </w:p>
          <w:p>
            <w:pPr>
              <w:jc w:val="center"/>
              <w:rPr>
                <w:rFonts w:asciiTheme="minorEastAsia" w:hAnsiTheme="minorEastAsia"/>
                <w:sz w:val="18"/>
                <w:szCs w:val="18"/>
              </w:rPr>
            </w:pPr>
            <w:r>
              <w:rPr>
                <w:rFonts w:hint="eastAsia" w:asciiTheme="minorEastAsia" w:hAnsiTheme="minorEastAsia"/>
                <w:sz w:val="18"/>
                <w:szCs w:val="18"/>
              </w:rPr>
              <w:t>数控机床</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14台/课程20套/课程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p>
            <w:pPr>
              <w:jc w:val="center"/>
              <w:rPr>
                <w:rFonts w:asciiTheme="minorEastAsia"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9</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电气控制实践技能</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电机拖动实训室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电气控制柜</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15套/课程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液压与气动</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多媒体课室液压实验室</w:t>
            </w:r>
          </w:p>
          <w:p>
            <w:pPr>
              <w:jc w:val="center"/>
              <w:rPr>
                <w:rFonts w:asciiTheme="minorEastAsia" w:hAnsiTheme="minorEastAsia"/>
                <w:sz w:val="18"/>
                <w:szCs w:val="18"/>
              </w:rPr>
            </w:pPr>
            <w:r>
              <w:rPr>
                <w:rFonts w:hint="eastAsia" w:asciiTheme="minorEastAsia" w:hAnsiTheme="minorEastAsia"/>
                <w:sz w:val="18"/>
                <w:szCs w:val="18"/>
              </w:rPr>
              <w:t>冲塑成型实训室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液压教学平台</w:t>
            </w:r>
          </w:p>
          <w:p>
            <w:pPr>
              <w:jc w:val="center"/>
              <w:rPr>
                <w:rFonts w:asciiTheme="minorEastAsia" w:hAnsiTheme="minorEastAsia"/>
                <w:sz w:val="18"/>
                <w:szCs w:val="18"/>
              </w:rPr>
            </w:pPr>
            <w:r>
              <w:rPr>
                <w:rFonts w:hint="eastAsia" w:asciiTheme="minorEastAsia" w:hAnsiTheme="minorEastAsia"/>
                <w:sz w:val="18"/>
                <w:szCs w:val="18"/>
              </w:rPr>
              <w:t>机械压力机</w:t>
            </w:r>
          </w:p>
          <w:p>
            <w:pPr>
              <w:jc w:val="center"/>
              <w:rPr>
                <w:rFonts w:asciiTheme="minorEastAsia" w:hAnsiTheme="minorEastAsia"/>
                <w:sz w:val="18"/>
                <w:szCs w:val="18"/>
              </w:rPr>
            </w:pPr>
            <w:r>
              <w:rPr>
                <w:rFonts w:hint="eastAsia" w:asciiTheme="minorEastAsia" w:hAnsiTheme="minorEastAsia"/>
                <w:sz w:val="18"/>
                <w:szCs w:val="18"/>
              </w:rPr>
              <w:t>注塑机</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2套/课程</w:t>
            </w:r>
          </w:p>
          <w:p>
            <w:pPr>
              <w:jc w:val="center"/>
              <w:rPr>
                <w:rFonts w:asciiTheme="minorEastAsia" w:hAnsiTheme="minorEastAsia"/>
                <w:sz w:val="18"/>
                <w:szCs w:val="18"/>
              </w:rPr>
            </w:pPr>
            <w:r>
              <w:rPr>
                <w:rFonts w:hint="eastAsia" w:asciiTheme="minorEastAsia" w:hAnsiTheme="minorEastAsia"/>
                <w:sz w:val="18"/>
                <w:szCs w:val="18"/>
              </w:rPr>
              <w:t>4台/课程</w:t>
            </w:r>
          </w:p>
          <w:p>
            <w:pPr>
              <w:jc w:val="center"/>
              <w:rPr>
                <w:rFonts w:asciiTheme="minorEastAsia" w:hAnsiTheme="minorEastAsia"/>
                <w:sz w:val="18"/>
                <w:szCs w:val="18"/>
              </w:rPr>
            </w:pPr>
            <w:r>
              <w:rPr>
                <w:rFonts w:hint="eastAsia" w:asciiTheme="minorEastAsia" w:hAnsiTheme="minorEastAsia"/>
                <w:sz w:val="18"/>
                <w:szCs w:val="18"/>
              </w:rPr>
              <w:t>3台/课程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11</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可编程控制及组态监控</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智能室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PLC实训台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1台/课程</w:t>
            </w:r>
          </w:p>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12</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单片机及C程序设计</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智能室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单片机开发板</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60套/课程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13</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变频调速技术</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变频实训室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变频实训台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25套/课程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14</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传感与检测</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传感实训室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传感器实训台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20台/课程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15</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工厂供电</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电工实训台、设备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自动生产线控制维护使用</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自动生产线实训室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自动生产线实训设备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10站/课程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电梯操作与维修</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电梯控制实训室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电梯实训设备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自动控制及过程控制</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变频实训室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变频实训台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1台1套/课程</w:t>
            </w:r>
          </w:p>
          <w:p>
            <w:pPr>
              <w:jc w:val="center"/>
              <w:rPr>
                <w:rFonts w:asciiTheme="minorEastAsia" w:hAnsiTheme="minorEastAsia"/>
                <w:sz w:val="18"/>
                <w:szCs w:val="18"/>
              </w:rPr>
            </w:pPr>
            <w:r>
              <w:rPr>
                <w:rFonts w:hint="eastAsia" w:asciiTheme="minorEastAsia" w:hAnsiTheme="minorEastAsia"/>
                <w:sz w:val="18"/>
                <w:szCs w:val="18"/>
              </w:rPr>
              <w:t>25套1套</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19</w:t>
            </w:r>
          </w:p>
        </w:tc>
        <w:tc>
          <w:tcPr>
            <w:tcW w:w="1646" w:type="dxa"/>
            <w:tcBorders>
              <w:top w:val="single" w:color="000000" w:sz="4" w:space="0"/>
              <w:left w:val="nil"/>
              <w:bottom w:val="single" w:color="000000" w:sz="4" w:space="0"/>
              <w:right w:val="single" w:color="000000" w:sz="4" w:space="0"/>
            </w:tcBorders>
            <w:vAlign w:val="center"/>
          </w:tcPr>
          <w:p>
            <w:pPr>
              <w:rPr>
                <w:rFonts w:asciiTheme="minorEastAsia" w:hAnsiTheme="minorEastAsia"/>
                <w:sz w:val="18"/>
                <w:szCs w:val="18"/>
              </w:rPr>
            </w:pPr>
            <w:r>
              <w:rPr>
                <w:rFonts w:hint="eastAsia" w:asciiTheme="minorEastAsia" w:hAnsiTheme="minorEastAsia"/>
                <w:sz w:val="18"/>
                <w:szCs w:val="18"/>
              </w:rPr>
              <w:t>工业机器人</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工业机器人实训室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工业机器人手臂及工作站</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10站/课程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1646" w:type="dxa"/>
            <w:tcBorders>
              <w:top w:val="single" w:color="000000" w:sz="4" w:space="0"/>
              <w:left w:val="nil"/>
              <w:bottom w:val="single" w:color="000000" w:sz="4" w:space="0"/>
              <w:right w:val="single" w:color="000000" w:sz="4" w:space="0"/>
            </w:tcBorders>
            <w:vAlign w:val="center"/>
          </w:tcPr>
          <w:p>
            <w:pPr>
              <w:rPr>
                <w:rFonts w:asciiTheme="minorEastAsia" w:hAnsiTheme="minorEastAsia"/>
                <w:sz w:val="18"/>
                <w:szCs w:val="18"/>
              </w:rPr>
            </w:pPr>
            <w:r>
              <w:rPr>
                <w:rFonts w:hint="eastAsia" w:asciiTheme="minorEastAsia" w:hAnsiTheme="minorEastAsia"/>
                <w:sz w:val="18"/>
                <w:szCs w:val="18"/>
              </w:rPr>
              <w:t>电工考证实训室</w:t>
            </w:r>
          </w:p>
        </w:tc>
        <w:tc>
          <w:tcPr>
            <w:tcW w:w="2098" w:type="dxa"/>
            <w:tcBorders>
              <w:top w:val="single" w:color="000000" w:sz="4" w:space="0"/>
              <w:left w:val="nil"/>
              <w:bottom w:val="single" w:color="000000" w:sz="4" w:space="0"/>
              <w:right w:val="single" w:color="000000" w:sz="4" w:space="0"/>
            </w:tcBorders>
            <w:vAlign w:val="center"/>
          </w:tcPr>
          <w:p>
            <w:pPr>
              <w:rPr>
                <w:rFonts w:asciiTheme="minorEastAsia" w:hAnsiTheme="minorEastAsia"/>
                <w:sz w:val="18"/>
                <w:szCs w:val="18"/>
              </w:rPr>
            </w:pPr>
            <w:r>
              <w:rPr>
                <w:rFonts w:hint="eastAsia" w:asciiTheme="minorEastAsia" w:hAnsiTheme="minorEastAsia"/>
                <w:sz w:val="18"/>
                <w:szCs w:val="18"/>
              </w:rPr>
              <w:t>维修电工、电工上岗证</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考证设备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20台套</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30座位</w:t>
            </w:r>
          </w:p>
        </w:tc>
      </w:tr>
    </w:tbl>
    <w:p>
      <w:pPr>
        <w:spacing w:before="312" w:beforeLines="100"/>
        <w:ind w:firstLine="420" w:firstLineChars="200"/>
        <w:jc w:val="left"/>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校外实训基地</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具有稳定的校外实训基地。能够开展机电一体化设备的应用与维护、自动生产线安装、调试、电气控制电路接线、自动控制设备程序设计、PLC系统设计、机电一体化产品开发、设备售后技术服务等实训活动，实训设施齐备，实训岗位、实训指导教师确定，实训管理及实施规章制度齐全。</w:t>
      </w:r>
    </w:p>
    <w:p>
      <w:pPr>
        <w:ind w:firstLine="420" w:firstLineChars="200"/>
        <w:jc w:val="left"/>
        <w:rPr>
          <w:rFonts w:asciiTheme="majorEastAsia" w:hAnsiTheme="majorEastAsia" w:eastAsiaTheme="majorEastAsia"/>
          <w:color w:val="FF0000"/>
        </w:rPr>
      </w:pPr>
      <w:r>
        <w:rPr>
          <w:rFonts w:hint="eastAsia" w:asciiTheme="majorEastAsia" w:hAnsiTheme="majorEastAsia" w:eastAsiaTheme="majorEastAsia"/>
        </w:rPr>
        <w:t>在校外实训基地建设方面，本专业优选在机电设备维护维修和自动化生产线的应用方面积极和企业合作，目前已经建有广州地铁等校外实习基地三十多家。机电一体化技术专业将与实习基地的有关企业在校企合作方面进行深层次的合作。企业从人才培养方案的设置开始便参与人才培养，并贯穿课程设置、实习指导、职业培训。合作的深度也不再局限于课程设置与实训基地的提供，还开展了现代学徒制试点。</w:t>
      </w:r>
    </w:p>
    <w:p>
      <w:pPr>
        <w:pStyle w:val="3"/>
      </w:pPr>
      <w:bookmarkStart w:id="27" w:name="_Toc89793287"/>
      <w:r>
        <w:rPr>
          <w:rFonts w:hint="eastAsia"/>
        </w:rPr>
        <w:t>（三）教学资源</w:t>
      </w:r>
      <w:bookmarkEnd w:id="27"/>
    </w:p>
    <w:p>
      <w:pPr>
        <w:ind w:firstLine="420" w:firstLineChars="200"/>
        <w:rPr>
          <w:rFonts w:asciiTheme="majorEastAsia" w:hAnsiTheme="majorEastAsia" w:eastAsiaTheme="majorEastAsia"/>
        </w:rPr>
      </w:pPr>
      <w:r>
        <w:rPr>
          <w:rFonts w:hint="eastAsia" w:asciiTheme="majorEastAsia" w:hAnsiTheme="majorEastAsia" w:eastAsiaTheme="majorEastAsia"/>
        </w:rPr>
        <w:t>对教材选用、图书文献设备、数字资源等提出有关要求。</w:t>
      </w:r>
    </w:p>
    <w:p>
      <w:pPr>
        <w:ind w:firstLine="420" w:firstLineChars="200"/>
        <w:rPr>
          <w:rFonts w:asciiTheme="majorEastAsia" w:hAnsiTheme="majorEastAsia" w:eastAsiaTheme="majorEastAsia"/>
        </w:rPr>
      </w:pPr>
      <w:r>
        <w:rPr>
          <w:rFonts w:hint="eastAsia" w:asciiTheme="majorEastAsia" w:hAnsiTheme="majorEastAsia" w:eastAsiaTheme="majorEastAsia"/>
        </w:rPr>
        <w:t>教材、图书和数字资源结合实际具体提出，应能够满足学生专业学习、教师专业教学研究、教学实施和社会服务需要。严格执行国家、省和学校关于教材选用的有关要求。根据需要组织编写校本教材，开发教学资源。</w:t>
      </w:r>
    </w:p>
    <w:p>
      <w:pPr>
        <w:ind w:firstLine="420" w:firstLineChars="200"/>
        <w:rPr>
          <w:rFonts w:asciiTheme="majorEastAsia" w:hAnsiTheme="majorEastAsia" w:eastAsiaTheme="majorEastAsia"/>
        </w:rPr>
      </w:pPr>
      <w:r>
        <w:rPr>
          <w:rFonts w:hint="eastAsia" w:asciiTheme="majorEastAsia" w:hAnsiTheme="majorEastAsia" w:eastAsiaTheme="majorEastAsia"/>
        </w:rPr>
        <w:t>同时，注意对接“1+X”证书制度试点工作对教材的要求。</w:t>
      </w:r>
    </w:p>
    <w:p>
      <w:pPr>
        <w:ind w:firstLine="420" w:firstLineChars="200"/>
        <w:rPr>
          <w:rFonts w:asciiTheme="majorEastAsia" w:hAnsiTheme="majorEastAsia" w:eastAsiaTheme="majorEastAsia"/>
        </w:rPr>
      </w:pPr>
      <w:r>
        <w:rPr>
          <w:rFonts w:hint="eastAsia" w:asciiTheme="majorEastAsia" w:hAnsiTheme="majorEastAsia" w:eastAsiaTheme="majorEastAsia"/>
        </w:rPr>
        <w:t>（1）教材</w:t>
      </w:r>
    </w:p>
    <w:p>
      <w:pPr>
        <w:ind w:firstLine="420" w:firstLineChars="200"/>
        <w:rPr>
          <w:rFonts w:asciiTheme="majorEastAsia" w:hAnsiTheme="majorEastAsia" w:eastAsiaTheme="majorEastAsia"/>
        </w:rPr>
      </w:pPr>
      <w:r>
        <w:rPr>
          <w:rFonts w:hint="eastAsia" w:asciiTheme="majorEastAsia" w:hAnsiTheme="majorEastAsia" w:eastAsiaTheme="majorEastAsia"/>
        </w:rPr>
        <w:t>在选用教材时有如下原则：优先选用近3年出版的新教材和各级各类获奖教材，鼓励选用教育主管部门或教学指导委员会推荐教材；选用先进的、能反映机电产品应用与设计，特别在自动生产线安装与维护专业发展前沿的高质量教材；综合课程，尤其是专业核心课程，建议专业教师编写更符合教学要求、更能体现课程体系科学、更加结合专业实际的特色教材。</w:t>
      </w:r>
    </w:p>
    <w:p>
      <w:pPr>
        <w:ind w:firstLine="420" w:firstLineChars="200"/>
        <w:rPr>
          <w:rFonts w:asciiTheme="majorEastAsia" w:hAnsiTheme="majorEastAsia" w:eastAsiaTheme="majorEastAsia"/>
        </w:rPr>
      </w:pPr>
      <w:r>
        <w:rPr>
          <w:rFonts w:hint="eastAsia" w:asciiTheme="majorEastAsia" w:hAnsiTheme="majorEastAsia" w:eastAsiaTheme="majorEastAsia"/>
        </w:rPr>
        <w:t>（2）其他图书</w:t>
      </w:r>
    </w:p>
    <w:p>
      <w:pPr>
        <w:ind w:firstLine="420" w:firstLineChars="200"/>
        <w:rPr>
          <w:rFonts w:asciiTheme="majorEastAsia" w:hAnsiTheme="majorEastAsia" w:eastAsiaTheme="majorEastAsia"/>
          <w:color w:val="FF0000"/>
        </w:rPr>
      </w:pPr>
      <w:r>
        <w:rPr>
          <w:rFonts w:hint="eastAsia" w:asciiTheme="majorEastAsia" w:hAnsiTheme="majorEastAsia" w:eastAsiaTheme="majorEastAsia"/>
        </w:rPr>
        <w:t>本专业有着丰富的教学资源，学院拥有国家两个图书馆和国内领先省内一流的职业技能实训中心，馆藏纸质图书65余万册，中文纸质专业期刊700余种，可供学生进行学习。有电气和机电类（机床电气设计、可编程控制器应用，变频器原理与应用，传感器原理与应用，组态技术，机器人技术等）专业书籍6000册（含电子图书），生均10册以上；有机电和电气类（机床电气设计、可编程控制器应用，变频器原理与应用，传感器原理与应用，组态技术，机器人技术，等）专业期（报）刊10种以上；相关职业资格标准（钳工、车工、铣工、维修电工、数控车工、数控铣工、加工中心、数控机床装调维修工、PLC编程程序员，维修电工的初级、中级、高级职业标准）；技术资料（电气设计手册，机床电气设计手册，机电系统设计手册，不同系统（华中、发那科、西门子、DMG）的调试资料、现有实训设备的操作编程手册、安装调试、维修资料）；实训指导书（符合专业需求、专业建设实际的不同实训课程指导书）。</w:t>
      </w:r>
    </w:p>
    <w:p>
      <w:pPr>
        <w:pStyle w:val="3"/>
      </w:pPr>
      <w:bookmarkStart w:id="28" w:name="_Toc89793288"/>
      <w:r>
        <w:rPr>
          <w:rFonts w:hint="eastAsia"/>
        </w:rPr>
        <w:t>（四）教学方法</w:t>
      </w:r>
      <w:bookmarkEnd w:id="28"/>
    </w:p>
    <w:p>
      <w:pPr>
        <w:ind w:firstLine="420" w:firstLineChars="200"/>
        <w:rPr>
          <w:rFonts w:ascii="宋体" w:hAnsi="宋体"/>
          <w:color w:val="000000"/>
        </w:rPr>
      </w:pPr>
      <w:r>
        <w:rPr>
          <w:rFonts w:hint="eastAsia" w:ascii="宋体" w:hAnsi="宋体"/>
          <w:color w:val="000000"/>
          <w:lang w:val="en-US" w:eastAsia="zh-CN"/>
        </w:rPr>
        <w:t>1</w:t>
      </w:r>
      <w:r>
        <w:rPr>
          <w:rFonts w:ascii="宋体" w:hAnsi="宋体"/>
          <w:color w:val="000000"/>
        </w:rPr>
        <w:t>.</w:t>
      </w:r>
      <w:r>
        <w:rPr>
          <w:rFonts w:hint="eastAsia" w:ascii="宋体" w:hAnsi="宋体"/>
          <w:color w:val="000000"/>
        </w:rPr>
        <w:t>联合申办省级现代学徒制办学模式</w:t>
      </w:r>
    </w:p>
    <w:p>
      <w:pPr>
        <w:widowControl/>
        <w:ind w:firstLine="420" w:firstLineChars="200"/>
        <w:textAlignment w:val="center"/>
        <w:rPr>
          <w:rFonts w:ascii="宋体" w:hAnsi="宋体"/>
          <w:b/>
          <w:bCs/>
          <w:color w:val="000000"/>
        </w:rPr>
      </w:pPr>
      <w:r>
        <w:rPr>
          <w:rFonts w:hint="eastAsia" w:asciiTheme="majorEastAsia" w:hAnsiTheme="majorEastAsia" w:eastAsiaTheme="majorEastAsia"/>
        </w:rPr>
        <w:t>采用双主体育人模式，以企业、学校作为双元主体，根据企业岗位需求构建人才培养目标，申报省级现代学徒制，制定人才培养方案，创新教学模式，建立双师型队伍，优化教学资源等方式，探索现代学徒制教学机制建设、运行机制建设、培养机制建设，以期达到培养社会需要的“理论知识与实践技能兼备” 和“职业道德素养与职业创新能力兼备”的双型人才，培养“工匠精神”和精益求精的精神。</w:t>
      </w:r>
    </w:p>
    <w:p>
      <w:pPr>
        <w:ind w:firstLine="420" w:firstLineChars="200"/>
        <w:rPr>
          <w:rFonts w:asciiTheme="majorEastAsia" w:hAnsiTheme="majorEastAsia" w:eastAsiaTheme="majorEastAsia"/>
        </w:rPr>
      </w:pPr>
      <w:r>
        <w:rPr>
          <w:rFonts w:hint="eastAsia" w:asciiTheme="majorEastAsia" w:hAnsiTheme="majorEastAsia" w:eastAsiaTheme="majorEastAsia"/>
          <w:lang w:val="en-US" w:eastAsia="zh-CN"/>
        </w:rPr>
        <w:t>2</w:t>
      </w:r>
      <w:r>
        <w:rPr>
          <w:rFonts w:asciiTheme="majorEastAsia" w:hAnsiTheme="majorEastAsia" w:eastAsiaTheme="majorEastAsia"/>
        </w:rPr>
        <w:t>.</w:t>
      </w:r>
      <w:r>
        <w:rPr>
          <w:rFonts w:hint="eastAsia" w:asciiTheme="majorEastAsia" w:hAnsiTheme="majorEastAsia" w:eastAsiaTheme="majorEastAsia"/>
        </w:rPr>
        <w:t>构建专业“五化”一体的课程体系，突出学生个性化培养</w:t>
      </w:r>
    </w:p>
    <w:p>
      <w:pPr>
        <w:ind w:firstLine="420" w:firstLineChars="200"/>
        <w:rPr>
          <w:rFonts w:asciiTheme="majorEastAsia" w:hAnsiTheme="majorEastAsia" w:eastAsiaTheme="majorEastAsia"/>
        </w:rPr>
      </w:pPr>
      <w:r>
        <w:rPr>
          <w:rFonts w:hint="eastAsia" w:asciiTheme="majorEastAsia" w:hAnsiTheme="majorEastAsia" w:eastAsiaTheme="majorEastAsia"/>
        </w:rPr>
        <w:t>一体化课程可分五化：加工过程自动化；制造资源物联化；制造系统数字化；质量控制实时化；制造环境绿色化。学生可任意选择其中的某几个相关模块进行学习，采取学分互认，在培养模式上，突出学生个性化培养，更好的培养发展型机电一体化技术人才。</w:t>
      </w:r>
    </w:p>
    <w:p>
      <w:pPr>
        <w:ind w:firstLine="420" w:firstLineChars="200"/>
        <w:rPr>
          <w:rFonts w:asciiTheme="majorEastAsia" w:hAnsiTheme="majorEastAsia" w:eastAsiaTheme="majorEastAsia"/>
        </w:rPr>
      </w:pPr>
      <w:r>
        <w:rPr>
          <w:rFonts w:hint="eastAsia" w:asciiTheme="majorEastAsia" w:hAnsiTheme="majorEastAsia" w:eastAsiaTheme="majorEastAsia"/>
          <w:lang w:val="en-US" w:eastAsia="zh-CN"/>
        </w:rPr>
        <w:t>3</w:t>
      </w:r>
      <w:r>
        <w:rPr>
          <w:rFonts w:asciiTheme="majorEastAsia" w:hAnsiTheme="majorEastAsia" w:eastAsiaTheme="majorEastAsia"/>
        </w:rPr>
        <w:t>.</w:t>
      </w:r>
      <w:r>
        <w:rPr>
          <w:rFonts w:hint="eastAsia" w:asciiTheme="majorEastAsia" w:hAnsiTheme="majorEastAsia" w:eastAsiaTheme="majorEastAsia"/>
        </w:rPr>
        <w:t>开展“校内教师+企业教师”共建共授课程等教学改革</w:t>
      </w:r>
    </w:p>
    <w:p>
      <w:pPr>
        <w:ind w:firstLine="420" w:firstLineChars="200"/>
        <w:rPr>
          <w:rFonts w:asciiTheme="majorEastAsia" w:hAnsiTheme="majorEastAsia" w:eastAsiaTheme="majorEastAsia"/>
        </w:rPr>
      </w:pPr>
      <w:r>
        <w:rPr>
          <w:rFonts w:hint="eastAsia" w:asciiTheme="majorEastAsia" w:hAnsiTheme="majorEastAsia" w:eastAsiaTheme="majorEastAsia"/>
        </w:rPr>
        <w:t>为更好培养学生机电一体化设备的设计与制造、安装与调试能力，专业核心课程全部采用了项目教学，由“校内教师+企业教师”共同授课。企业教师主要为广东省知名机电行业企业的技术人员。建设期内，在9门专业课程实施小班教学以及校内外教师共同授课。共同指导学生实践教学及顶岗实习。</w:t>
      </w:r>
    </w:p>
    <w:p>
      <w:pPr>
        <w:ind w:firstLine="420" w:firstLineChars="200"/>
        <w:rPr>
          <w:rFonts w:asciiTheme="majorEastAsia" w:hAnsiTheme="majorEastAsia" w:eastAsiaTheme="majorEastAsia"/>
        </w:rPr>
      </w:pPr>
      <w:r>
        <w:rPr>
          <w:rFonts w:hint="eastAsia" w:asciiTheme="majorEastAsia" w:hAnsiTheme="majorEastAsia" w:eastAsiaTheme="majorEastAsia"/>
          <w:lang w:val="en-US" w:eastAsia="zh-CN"/>
        </w:rPr>
        <w:t>4</w:t>
      </w:r>
      <w:r>
        <w:rPr>
          <w:rFonts w:asciiTheme="majorEastAsia" w:hAnsiTheme="majorEastAsia" w:eastAsiaTheme="majorEastAsia"/>
        </w:rPr>
        <w:t>.</w:t>
      </w:r>
      <w:r>
        <w:rPr>
          <w:rFonts w:hint="eastAsia" w:asciiTheme="majorEastAsia" w:hAnsiTheme="majorEastAsia" w:eastAsiaTheme="majorEastAsia"/>
        </w:rPr>
        <w:t>探索混合式学习和翻转课堂教学</w:t>
      </w:r>
    </w:p>
    <w:p>
      <w:pPr>
        <w:snapToGrid w:val="0"/>
        <w:ind w:firstLine="420" w:firstLineChars="200"/>
        <w:rPr>
          <w:rFonts w:asciiTheme="majorEastAsia" w:hAnsiTheme="majorEastAsia" w:eastAsiaTheme="majorEastAsia"/>
          <w:color w:val="FF0000"/>
        </w:rPr>
      </w:pPr>
      <w:r>
        <w:rPr>
          <w:rFonts w:hint="eastAsia" w:asciiTheme="majorEastAsia" w:hAnsiTheme="majorEastAsia" w:eastAsiaTheme="majorEastAsia"/>
        </w:rPr>
        <w:t>混合式学习和翻转课堂是在线教育的未来趋势要实现翻转课堂教学，因此，要把传统学习方式的优势和网络化学习的优势结合起来，建立混合式学习模式。另外，必须建立基于“机电设备的设计、操作、装调工作过程”的理、虚、实一体化“微课、课程资源包”。</w:t>
      </w:r>
    </w:p>
    <w:p>
      <w:pPr>
        <w:pStyle w:val="3"/>
      </w:pPr>
      <w:bookmarkStart w:id="29" w:name="_Toc89793289"/>
      <w:r>
        <w:rPr>
          <w:rFonts w:hint="eastAsia"/>
        </w:rPr>
        <w:t>（五）学习评价</w:t>
      </w:r>
      <w:bookmarkEnd w:id="29"/>
    </w:p>
    <w:p>
      <w:pPr>
        <w:ind w:firstLine="420" w:firstLineChars="200"/>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日常教学质量管理与检查制度</w:t>
      </w:r>
    </w:p>
    <w:p>
      <w:pPr>
        <w:ind w:firstLine="420" w:firstLineChars="200"/>
        <w:rPr>
          <w:rFonts w:asciiTheme="majorEastAsia" w:hAnsiTheme="majorEastAsia" w:eastAsiaTheme="majorEastAsia"/>
        </w:rPr>
      </w:pPr>
      <w:r>
        <w:rPr>
          <w:rFonts w:hint="eastAsia" w:asciiTheme="majorEastAsia" w:hAnsiTheme="majorEastAsia" w:eastAsiaTheme="majorEastAsia"/>
        </w:rPr>
        <w:t>建立了健全的教学常规管理制度，分别在开学初对教学准备工作、教学设备到位情况和教师备课情况进行检查；在期中对课堂教学、教学进度、教案、辅导、实训、作业等教学环节进行普查和抽查；期末对考试环节重点检查，对全体教师进行教学评价等。</w:t>
      </w:r>
    </w:p>
    <w:p>
      <w:pPr>
        <w:ind w:firstLine="420" w:firstLineChars="200"/>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教学督导制度</w:t>
      </w:r>
      <w:r>
        <w:rPr>
          <w:rFonts w:hint="eastAsia" w:asciiTheme="majorEastAsia" w:hAnsiTheme="majorEastAsia" w:eastAsiaTheme="majorEastAsia"/>
        </w:rPr>
        <w:tab/>
      </w:r>
    </w:p>
    <w:p>
      <w:pPr>
        <w:ind w:firstLine="420" w:firstLineChars="200"/>
        <w:rPr>
          <w:rFonts w:asciiTheme="majorEastAsia" w:hAnsiTheme="majorEastAsia" w:eastAsiaTheme="majorEastAsia"/>
        </w:rPr>
      </w:pPr>
      <w:r>
        <w:rPr>
          <w:rFonts w:hint="eastAsia" w:asciiTheme="majorEastAsia" w:hAnsiTheme="majorEastAsia" w:eastAsiaTheme="majorEastAsia"/>
        </w:rPr>
        <w:t>教学督导工作主要通过两种渠道开展：一是学院教学督导组监督指导，通过定期和不定期的听课、深入班级了解教学情况、对青年教师进行教学方法的指导、对教学管理工作提出合理化建议、对课程教学进行评价和反馈等，有效促进了教学质量的提高；二是各级领导干部听课制度，各级领导定期或随机深入班级听课、了解教学效果，监控教学质量。</w:t>
      </w:r>
    </w:p>
    <w:p>
      <w:pPr>
        <w:ind w:firstLine="420" w:firstLineChars="200"/>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系部教学工作例会和教学研讨制度</w:t>
      </w:r>
    </w:p>
    <w:p>
      <w:pPr>
        <w:ind w:firstLine="420" w:firstLineChars="200"/>
        <w:rPr>
          <w:rFonts w:asciiTheme="majorEastAsia" w:hAnsiTheme="majorEastAsia" w:eastAsiaTheme="majorEastAsia"/>
        </w:rPr>
      </w:pPr>
      <w:r>
        <w:rPr>
          <w:rFonts w:hint="eastAsia" w:asciiTheme="majorEastAsia" w:hAnsiTheme="majorEastAsia" w:eastAsiaTheme="majorEastAsia"/>
        </w:rPr>
        <w:t>系部每两周召开一次系部教学工作例会，并规定每周二下午为教学例会（或教研活动）时间。教学工作例会在及时总结教学工作情况，解决教学运行中出现的问题，部署阶段性工作任务等方面发挥了重要的作用；各教研室定期和不定期开展专题研讨活动，通过讨论与交流，推广优秀教学经验，提高教师的课堂教学效果。</w:t>
      </w:r>
    </w:p>
    <w:p>
      <w:pPr>
        <w:ind w:firstLine="420" w:firstLineChars="200"/>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青年教师培养制度</w:t>
      </w:r>
    </w:p>
    <w:p>
      <w:pPr>
        <w:ind w:firstLine="420" w:firstLineChars="200"/>
        <w:rPr>
          <w:rFonts w:asciiTheme="majorEastAsia" w:hAnsiTheme="majorEastAsia" w:eastAsiaTheme="majorEastAsia"/>
        </w:rPr>
      </w:pPr>
      <w:r>
        <w:rPr>
          <w:rFonts w:hint="eastAsia" w:asciiTheme="majorEastAsia" w:hAnsiTheme="majorEastAsia" w:eastAsiaTheme="majorEastAsia"/>
        </w:rPr>
        <w:t>建立导师制，对青年教师进行一对一指导，指导教师由系部领导、专业带头人、骨干教师和副高以上职称教师担任，制定培养方案，定期进行指导交流。青年教师培养制度在提高青年教师的业务水平，促进教师交流提升综合素质，全面提高系部教学质量等方面起到了重要作用、</w:t>
      </w:r>
    </w:p>
    <w:p>
      <w:pPr>
        <w:ind w:firstLine="420" w:firstLineChars="200"/>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学生评教制度</w:t>
      </w:r>
    </w:p>
    <w:p>
      <w:pPr>
        <w:ind w:firstLine="420" w:firstLineChars="200"/>
        <w:rPr>
          <w:rFonts w:asciiTheme="majorEastAsia" w:hAnsiTheme="majorEastAsia" w:eastAsiaTheme="majorEastAsia"/>
        </w:rPr>
      </w:pPr>
      <w:r>
        <w:rPr>
          <w:rFonts w:hint="eastAsia" w:asciiTheme="majorEastAsia" w:hAnsiTheme="majorEastAsia" w:eastAsiaTheme="majorEastAsia"/>
        </w:rPr>
        <w:t>学生评教工作主要通过三种渠道开展：一是每位任课教师负责填写本课程的教学日志，系部和教务处反馈意见，保障教学正常运行；二是各教学单位每学期在期中或期末教学检查过程中，召开由各专业学生代表参加的座谈会，对本班本学期所学的每一门课程进行评价，并对教学计划中的课程设置、实践教学、教学管理等提出意见和建议；三是所有学生通过教学质量评价系统对自己本学期所学课程进行评价打分；据统计，我系学生对教师满意度评价达到良好以上超过95%。</w:t>
      </w:r>
    </w:p>
    <w:p>
      <w:pPr>
        <w:ind w:firstLine="420" w:firstLineChars="200"/>
        <w:rPr>
          <w:rFonts w:asciiTheme="majorEastAsia" w:hAnsiTheme="majorEastAsia" w:eastAsiaTheme="majorEastAsia"/>
        </w:rPr>
      </w:pPr>
      <w:r>
        <w:rPr>
          <w:rFonts w:hint="eastAsia" w:asciiTheme="majorEastAsia" w:hAnsiTheme="majorEastAsia" w:eastAsiaTheme="majorEastAsia"/>
        </w:rPr>
        <w:t>6</w:t>
      </w:r>
      <w:r>
        <w:rPr>
          <w:rFonts w:asciiTheme="majorEastAsia" w:hAnsiTheme="majorEastAsia" w:eastAsiaTheme="majorEastAsia"/>
        </w:rPr>
        <w:t>.</w:t>
      </w:r>
      <w:r>
        <w:rPr>
          <w:rFonts w:hint="eastAsia" w:asciiTheme="majorEastAsia" w:hAnsiTheme="majorEastAsia" w:eastAsiaTheme="majorEastAsia"/>
        </w:rPr>
        <w:t>教师评教、评学制度</w:t>
      </w:r>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教师评教分为互评和自评，学院规定每位教师每学期要完成一定数量的听课任务，通过教学质量评价系统相互进行评价打分；二是课程考核结束时，每位教师要对任课课程进行教学总结评价，并对学生成绩进行分析，找出不足并在后续教学中予以改进。 </w:t>
      </w:r>
    </w:p>
    <w:p>
      <w:pPr>
        <w:ind w:firstLine="420" w:firstLineChars="200"/>
        <w:rPr>
          <w:rFonts w:asciiTheme="majorEastAsia" w:hAnsiTheme="majorEastAsia" w:eastAsiaTheme="majorEastAsia"/>
        </w:rPr>
      </w:pPr>
      <w:r>
        <w:rPr>
          <w:rFonts w:hint="eastAsia" w:asciiTheme="majorEastAsia" w:hAnsiTheme="majorEastAsia" w:eastAsiaTheme="majorEastAsia"/>
        </w:rPr>
        <w:t>7</w:t>
      </w:r>
      <w:r>
        <w:rPr>
          <w:rFonts w:asciiTheme="majorEastAsia" w:hAnsiTheme="majorEastAsia" w:eastAsiaTheme="majorEastAsia"/>
        </w:rPr>
        <w:t>.</w:t>
      </w:r>
      <w:r>
        <w:rPr>
          <w:rFonts w:hint="eastAsia" w:asciiTheme="majorEastAsia" w:hAnsiTheme="majorEastAsia" w:eastAsiaTheme="majorEastAsia"/>
        </w:rPr>
        <w:t>学生意见反馈</w:t>
      </w:r>
    </w:p>
    <w:p>
      <w:pPr>
        <w:ind w:firstLine="420" w:firstLineChars="200"/>
        <w:rPr>
          <w:rFonts w:asciiTheme="majorEastAsia" w:hAnsiTheme="majorEastAsia" w:eastAsiaTheme="majorEastAsia"/>
        </w:rPr>
      </w:pPr>
      <w:r>
        <w:rPr>
          <w:rFonts w:hint="eastAsia" w:asciiTheme="majorEastAsia" w:hAnsiTheme="majorEastAsia" w:eastAsiaTheme="majorEastAsia"/>
        </w:rPr>
        <w:t>系办公室设立“测绘系意见箱”，随时收集学生和教师对学院教学工作及的意见和建议，意见箱由系办负责整理，并及时处理和回复。另外，学院和系部的网站均设有留言本和信箱，方便学生及时将对教学工作的意见反馈到教务处和系部，便于及时解决和处理。</w:t>
      </w:r>
    </w:p>
    <w:p>
      <w:pPr>
        <w:ind w:firstLine="420" w:firstLineChars="200"/>
        <w:rPr>
          <w:rFonts w:asciiTheme="majorEastAsia" w:hAnsiTheme="majorEastAsia" w:eastAsiaTheme="majorEastAsia"/>
        </w:rPr>
      </w:pPr>
      <w:r>
        <w:rPr>
          <w:rFonts w:hint="eastAsia" w:asciiTheme="majorEastAsia" w:hAnsiTheme="majorEastAsia" w:eastAsiaTheme="majorEastAsia"/>
        </w:rPr>
        <w:t>8</w:t>
      </w:r>
      <w:r>
        <w:rPr>
          <w:rFonts w:asciiTheme="majorEastAsia" w:hAnsiTheme="majorEastAsia" w:eastAsiaTheme="majorEastAsia"/>
        </w:rPr>
        <w:t>.</w:t>
      </w:r>
      <w:r>
        <w:rPr>
          <w:rFonts w:hint="eastAsia" w:asciiTheme="majorEastAsia" w:hAnsiTheme="majorEastAsia" w:eastAsiaTheme="majorEastAsia"/>
        </w:rPr>
        <w:t>学生学习评价</w:t>
      </w:r>
    </w:p>
    <w:p>
      <w:pPr>
        <w:ind w:firstLine="420" w:firstLineChars="200"/>
        <w:rPr>
          <w:rFonts w:asciiTheme="majorEastAsia" w:hAnsiTheme="majorEastAsia" w:eastAsiaTheme="majorEastAsia"/>
        </w:rPr>
      </w:pPr>
      <w:r>
        <w:rPr>
          <w:rFonts w:hint="eastAsia" w:asciiTheme="majorEastAsia" w:hAnsiTheme="majorEastAsia" w:eastAsiaTheme="majorEastAsia"/>
        </w:rPr>
        <w:t>学习质量“多元化”评价体系工作，建立评价指标体系。</w:t>
      </w:r>
    </w:p>
    <w:p>
      <w:pPr>
        <w:ind w:firstLine="420" w:firstLineChars="200"/>
        <w:rPr>
          <w:rFonts w:asciiTheme="majorEastAsia" w:hAnsiTheme="majorEastAsia" w:eastAsiaTheme="majorEastAsia"/>
        </w:rPr>
      </w:pPr>
      <w:r>
        <w:rPr>
          <w:rFonts w:hint="eastAsia" w:asciiTheme="majorEastAsia" w:hAnsiTheme="majorEastAsia" w:eastAsiaTheme="majorEastAsia"/>
        </w:rPr>
        <w:t>明确“三维一体”的评价内容和评价标准。国家职业标准明确提出对从事相关专业人员的知识、技能、素质三方面的基本要求,是一个通用标准,具有普遍性与指导性。根据工业机器人行业由于自身实际情况会制定具有自身特色的岗位标准,具有特殊性与可操作性。为此,根据本地区产业结构的特点及本院毕业生就业行业的特点建立评价指标体系,明确具体的评价内容和评价标准,以满足企业、学生的要求。 以知识、技能、素质“三维一体”为主的评价内容与评价标准,将学生在课堂的学习与未来的实际工作相结合,体现了职业教育职业性、实践性的特征。具体的评价内容为劳动纪律、精神面貌、工作态度、理论知识、专业知识与规程标准、安全知识与规章制度、组织管理能力、团结合作能力、语言写作能力、实际操作能力、分析判断能力、学习能力、其他能力、创新能力共十四个方面,每个方面给出优秀、合格、不合格三个等级。十四项评价内容都有与未来工作岗位相适应的评价标准,学生达到一定的要求就可评价为相应的等级,每一项内容只要写明具体评价依据,就可进行相应等级的评定,操作十分简便。学生本人完全可以根据自己的情况进行自我评价,其评价结果与学习小组、教师的评价结果基本相同。这种学生学习质量的评价体系不是为了划分学生的学习等级,而是为了掌握学生的学习水平与学习能力。</w:t>
      </w:r>
    </w:p>
    <w:p>
      <w:pPr>
        <w:ind w:firstLine="420" w:firstLineChars="200"/>
        <w:rPr>
          <w:rFonts w:asciiTheme="majorEastAsia" w:hAnsiTheme="majorEastAsia" w:eastAsiaTheme="majorEastAsia"/>
        </w:rPr>
      </w:pPr>
      <w:r>
        <w:rPr>
          <w:rFonts w:hint="eastAsia" w:asciiTheme="majorEastAsia" w:hAnsiTheme="majorEastAsia" w:eastAsiaTheme="majorEastAsia"/>
        </w:rPr>
        <w:t>确定“以学生为主体、教师为主导、企业共同参与”的“三方三段式”评价模式,建立可操作性强的运行机制。评价模式是指在评价活动中有代表性的、可供人参照操作的评价方式或模型,是相对固定的评价程序,它是在一定的理论指导下对评价的基本范围、内容、过程和程序的规定。为了使评价模式能够正常、有序、健康进行,还必须有一整套运行、反馈、监督、申述等完整机制作保证。</w:t>
      </w:r>
    </w:p>
    <w:p>
      <w:pPr>
        <w:ind w:firstLine="420" w:firstLineChars="200"/>
        <w:rPr>
          <w:rFonts w:asciiTheme="majorEastAsia" w:hAnsiTheme="majorEastAsia" w:eastAsiaTheme="majorEastAsia"/>
        </w:rPr>
      </w:pPr>
      <w:r>
        <w:rPr>
          <w:rFonts w:hint="eastAsia" w:asciiTheme="majorEastAsia" w:hAnsiTheme="majorEastAsia" w:eastAsiaTheme="majorEastAsia"/>
        </w:rPr>
        <w:t>建立合理的运行机制,保证评价模式的有序进行。首先,模仿企业班组形式,将全班学生分组,每组以8～10人为宜,设立组长。组长由学生自荐、班主任与班干部推荐、全班投票、差额选举的方式产生。组长的任务是召集本组学生按照每个任务的评价内容与评价标准对每个学生的实际操作、提交作品、完成作业进行评价。教师参与学生小组的评价,并根据自己的观察独立对每个学生进行评价。在课堂模拟仿真学习后,邀请企业专家走进课堂、学生走出课堂到企业的真实环境实际锻炼,接受企业专家按照实际生产岗位标准对学生进行严格的评价,从而完成对学生的“三方”评价。每门课程在课程开始前首先以问卷调查形式进行诊断性评价以了解学生目前的学习状况;教学过程中每完成一个任务就立即进行评价,由所有任务构成的一个项目完成后就进行阶段性评价,目的是总结成绩、找出差距以便于改正;所有项目结束意味着课程结束,进行总结性评价,将学生诊断性评价与总结性评价进行比较,便可看出学生取得的进步与存在的不足,学生可以在将来继续不断改进完善,从而完成对学生的“三段式”评价。在评价过程中,采用开卷、闭卷考试、完成作业、提交作品,并突出强调以口试、答辩评价方式为主,考查学生对理论知识、专业知识、安全知识、学习、分析判断能力的掌握程度;采用课堂观摩学生模拟仿真实际操作的评价方式,着重考察学生的实际动手、团结合作、组织管理、创新能力;对职业素质的考察可按评价指标根据表现直接打分。</w:t>
      </w:r>
    </w:p>
    <w:p>
      <w:pPr>
        <w:ind w:firstLine="420" w:firstLineChars="200"/>
        <w:rPr>
          <w:rFonts w:asciiTheme="majorEastAsia" w:hAnsiTheme="majorEastAsia" w:eastAsiaTheme="majorEastAsia"/>
        </w:rPr>
      </w:pPr>
      <w:r>
        <w:rPr>
          <w:rFonts w:hint="eastAsia" w:asciiTheme="majorEastAsia" w:hAnsiTheme="majorEastAsia" w:eastAsiaTheme="majorEastAsia"/>
        </w:rPr>
        <w:t>建立教学反馈机制,进一步完善、发展评价模式。为了及时发现教学过程、评价过程中出现的问题,教师每周定时举办教师接待日,接受来访学生对教学内容、教学方法、评价内容、评价标准、评价方式的反馈意见与建议,以便及时改正。</w:t>
      </w:r>
    </w:p>
    <w:p>
      <w:pPr>
        <w:ind w:firstLine="420" w:firstLineChars="200"/>
        <w:rPr>
          <w:rFonts w:asciiTheme="majorEastAsia" w:hAnsiTheme="majorEastAsia" w:eastAsiaTheme="majorEastAsia"/>
        </w:rPr>
      </w:pPr>
      <w:r>
        <w:rPr>
          <w:rFonts w:hint="eastAsia" w:asciiTheme="majorEastAsia" w:hAnsiTheme="majorEastAsia" w:eastAsiaTheme="majorEastAsia"/>
        </w:rPr>
        <w:t>建立全员监督、申述机制,保证评价模式的健康运行。教学内容、应掌握的知识、技能、应养成的素养、评价内容、评价标准、评价方式都以任务书的形式在课程开始前下发给每个学生,评价过程的公平、透明性必须依靠所有学生、教师、企业专家共同全员监督,才能保证评价工作健康开展。如果学生对评价过程、评价结果有疑义,可向班级申述小组提起书面申述。申述小组的任务是对学生在评价过程、评价结果产生的疑义进行审议,通过投票的方法决定是否通过。申述小组由五名学生组成,为保证审议结果公正,不设立组长。五名小组成员的产生与学习小组组长产生方法完全相同。</w:t>
      </w:r>
    </w:p>
    <w:p>
      <w:pPr>
        <w:ind w:firstLine="420" w:firstLineChars="200"/>
        <w:rPr>
          <w:rFonts w:asciiTheme="majorEastAsia" w:hAnsiTheme="majorEastAsia" w:eastAsiaTheme="majorEastAsia"/>
        </w:rPr>
      </w:pPr>
      <w:r>
        <w:rPr>
          <w:rFonts w:hint="eastAsia" w:asciiTheme="majorEastAsia" w:hAnsiTheme="majorEastAsia" w:eastAsiaTheme="majorEastAsia"/>
        </w:rPr>
        <w:t>通过对高职学生学习质量“多元化”评价体系的构建与实践,可以实现职业教育目标,完善教育质量评价体系 对学生学习质量的评价是衡量学生学习素养高低和教学目标达成程度的最有效手段。学生学习质量评价体系是对职业院校教学质量评价体系的完善与发展。通过实施“多元化”评价,一是可以有效地检验课程教学目标的实现程度,发现课程在教学内容、教学方法上存在的问题并加以改进;二是可以检验学生在学习过程中存在的问题并加以改进,尤其是学习能力作为一种工作能力,会伴随学生一生,并使其在今后的继续教育、终生教育时受益匪浅,这也正是“多元化”评价体系价值的真正体现。</w:t>
      </w:r>
    </w:p>
    <w:p>
      <w:pPr>
        <w:ind w:firstLine="420" w:firstLineChars="200"/>
        <w:rPr>
          <w:rFonts w:asciiTheme="majorEastAsia" w:hAnsiTheme="majorEastAsia" w:eastAsiaTheme="majorEastAsia"/>
        </w:rPr>
      </w:pPr>
      <w:r>
        <w:rPr>
          <w:rFonts w:asciiTheme="majorEastAsia" w:hAnsiTheme="majorEastAsia" w:eastAsiaTheme="majorEastAsia"/>
        </w:rPr>
        <w:t>9.</w:t>
      </w:r>
      <w:r>
        <w:rPr>
          <w:rFonts w:hint="eastAsia" w:asciiTheme="majorEastAsia" w:hAnsiTheme="majorEastAsia" w:eastAsiaTheme="majorEastAsia"/>
        </w:rPr>
        <w:t>学习质量“多元化”评价体系的改进</w:t>
      </w:r>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首先,不断引进、融汇国外先进的评价模式和理念,并与我国的具体实际相结合,继续研究、探索、实践、完善“工学结合、校企合作”人才培养模式下的学生学习质量评价体系。 其次,教考分离,建立“以企业为主体,学生、教师共同参与”的评价模式,学校教学质量要接受学校外部检验,得到相关行业认可。国家和社会要用统一的尺度测量学生的知识能力水平,只有这样的质量认证才具有权威性、科学性和有效性,才有利于社会和用人单位选拔和录用人才。 </w:t>
      </w:r>
    </w:p>
    <w:p>
      <w:pPr>
        <w:pStyle w:val="3"/>
      </w:pPr>
      <w:bookmarkStart w:id="30" w:name="_Toc89793290"/>
      <w:r>
        <w:rPr>
          <w:rFonts w:hint="eastAsia"/>
        </w:rPr>
        <w:t>（六）质量管理</w:t>
      </w:r>
      <w:bookmarkEnd w:id="30"/>
    </w:p>
    <w:p>
      <w:pPr>
        <w:ind w:firstLine="420" w:firstLineChars="200"/>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健全基于ISO9001的教学质量监控、评价运行机制</w:t>
      </w:r>
    </w:p>
    <w:p>
      <w:pPr>
        <w:ind w:firstLine="420" w:firstLineChars="200"/>
        <w:rPr>
          <w:rFonts w:asciiTheme="majorEastAsia" w:hAnsiTheme="majorEastAsia" w:eastAsiaTheme="majorEastAsia"/>
        </w:rPr>
      </w:pPr>
      <w:r>
        <w:rPr>
          <w:rFonts w:hint="eastAsia" w:asciiTheme="majorEastAsia" w:hAnsiTheme="majorEastAsia" w:eastAsiaTheme="majorEastAsia"/>
        </w:rPr>
        <w:t>构建由学生、教师、专业、行业、企业等组成的教学信息反馈体系，及时反馈和处理教学过程中发现的相关问题，形成闭环信息反馈系统。建立企业参与全过程的教学质量监控、评价工作运行机制。采用以学生为主体的课程学习模式，按照ISO9001质量管理体系的标准，创新“过程与结果相结合”的考核评价模式，通过控制学习过程的质量来保证学习结果。根据课程特点，实施“赛课结合”、“课证结合”等多类型、多层次考核评价方法对学习成果进行考核，促进在校生学习主动性的提高。课程评价主体多元化，在关注学生评价、教师评价等内部评价的同时，加强校外实践企业及其它社会评价，使质量意识渗透到人才培养的全过程，且动态作用于人才培养的每一个环节。建设期内，完成专业学生学业多元化评价方案的制定，使教学质量得到显著提升。</w:t>
      </w:r>
    </w:p>
    <w:p>
      <w:pPr>
        <w:ind w:firstLine="420" w:firstLineChars="200"/>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创新“校内与校外”相结合的顶岗实习评价体系，提高顶岗实习质量</w:t>
      </w:r>
    </w:p>
    <w:p>
      <w:pPr>
        <w:ind w:firstLine="420" w:firstLineChars="200"/>
        <w:rPr>
          <w:rFonts w:asciiTheme="majorEastAsia" w:hAnsiTheme="majorEastAsia" w:eastAsiaTheme="majorEastAsia"/>
        </w:rPr>
      </w:pPr>
      <w:r>
        <w:rPr>
          <w:rFonts w:hint="eastAsia" w:asciiTheme="majorEastAsia" w:hAnsiTheme="majorEastAsia" w:eastAsiaTheme="majorEastAsia"/>
        </w:rPr>
        <w:t>建立“学生自我评价、企业评价和学校指导教师评价”相结合的顶岗实习校企多元评价体系，分别赋予权重分配：形成一个较科学、完整的顶岗实习评价体系，保证和提高顶岗实习质量。其中，学生自我评价占20%，主要以学生对自我的客观认知给出评价；企业评价占40%，企业评价以师傅的评价为主，侧重于顶岗实习的过程评价，主要对学生职业素养、专业技能、工作态度、执行力、完成任务的质量等方面按照量化标准评价；学校指导教师评价占40%，学校指导教师主要依据学校“顶岗实习网络平台”，根据实习周记、综合实践报告、实习单位走访检查结果，以及其它联系交流方式，对学生的顶岗能力、实习表现、实习成效等方面按照量化标准检查。</w:t>
      </w:r>
    </w:p>
    <w:p>
      <w:pPr>
        <w:ind w:firstLine="420" w:firstLineChars="200"/>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实现毕业生跟踪调查的常态化，形成专业的自我诊断与改进机制</w:t>
      </w:r>
    </w:p>
    <w:p>
      <w:pPr>
        <w:ind w:firstLine="420" w:firstLineChars="200"/>
        <w:rPr>
          <w:rFonts w:asciiTheme="majorEastAsia" w:hAnsiTheme="majorEastAsia" w:eastAsiaTheme="majorEastAsia"/>
        </w:rPr>
      </w:pPr>
      <w:r>
        <w:rPr>
          <w:rFonts w:hint="eastAsia" w:asciiTheme="majorEastAsia" w:hAnsiTheme="majorEastAsia" w:eastAsiaTheme="majorEastAsia"/>
        </w:rPr>
        <w:t>通过第三方调查机构（如麦可思数据有限公司）进行毕业生常态化的互动走访、问卷调查、座谈等，建立和更新毕业生档案，调查毕业生首次就业岗位、2-3年的工作岗位以及5年后工作岗位的变迁，以此作为自我评价专业建设与岗位需求、课程体系与职业能力培养的参考，形成专业的自我诊断与改进机制。</w:t>
      </w:r>
    </w:p>
    <w:p>
      <w:pPr>
        <w:pStyle w:val="2"/>
      </w:pPr>
      <w:bookmarkStart w:id="31" w:name="_Toc89793291"/>
      <w:r>
        <w:rPr>
          <w:rFonts w:hint="eastAsia"/>
        </w:rPr>
        <w:t>九、毕业要求</w:t>
      </w:r>
      <w:bookmarkEnd w:id="31"/>
    </w:p>
    <w:p>
      <w:pPr>
        <w:pStyle w:val="3"/>
      </w:pPr>
      <w:bookmarkStart w:id="32" w:name="_Toc89793292"/>
      <w:r>
        <w:rPr>
          <w:rFonts w:hint="eastAsia"/>
        </w:rPr>
        <w:t>（一）学分要求</w:t>
      </w:r>
      <w:bookmarkEnd w:id="32"/>
    </w:p>
    <w:p>
      <w:pPr>
        <w:ind w:firstLine="420" w:firstLineChars="200"/>
        <w:rPr>
          <w:rFonts w:asciiTheme="majorEastAsia" w:hAnsiTheme="majorEastAsia" w:eastAsiaTheme="majorEastAsia"/>
        </w:rPr>
      </w:pPr>
      <w:r>
        <w:rPr>
          <w:rFonts w:hint="eastAsia" w:asciiTheme="majorEastAsia" w:hAnsiTheme="majorEastAsia" w:eastAsiaTheme="majorEastAsia"/>
        </w:rPr>
        <w:t>本专业按学年学分制安排课程，学生需在规定年限内修满</w:t>
      </w:r>
      <w:r>
        <w:rPr>
          <w:rFonts w:hint="eastAsia" w:asciiTheme="minorEastAsia" w:hAnsiTheme="minorEastAsia"/>
        </w:rPr>
        <w:t>1</w:t>
      </w:r>
      <w:r>
        <w:rPr>
          <w:rFonts w:hint="eastAsia" w:asciiTheme="minorEastAsia" w:hAnsiTheme="minorEastAsia"/>
          <w:lang w:val="en-US" w:eastAsia="zh-CN"/>
        </w:rPr>
        <w:t>44.5</w:t>
      </w:r>
      <w:r>
        <w:rPr>
          <w:rFonts w:hint="eastAsia" w:asciiTheme="majorEastAsia" w:hAnsiTheme="majorEastAsia" w:eastAsiaTheme="majorEastAsia"/>
        </w:rPr>
        <w:t>学分。</w:t>
      </w:r>
    </w:p>
    <w:p>
      <w:pPr>
        <w:pStyle w:val="3"/>
      </w:pPr>
      <w:bookmarkStart w:id="33" w:name="_Toc89793293"/>
      <w:r>
        <w:rPr>
          <w:rFonts w:hint="eastAsia"/>
        </w:rPr>
        <w:t>（二）体质测试要求</w:t>
      </w:r>
      <w:bookmarkEnd w:id="33"/>
    </w:p>
    <w:p>
      <w:pPr>
        <w:ind w:firstLine="420" w:firstLineChars="200"/>
        <w:rPr>
          <w:rFonts w:asciiTheme="majorEastAsia" w:hAnsiTheme="majorEastAsia" w:eastAsiaTheme="majorEastAsia"/>
        </w:rPr>
      </w:pPr>
      <w:r>
        <w:rPr>
          <w:rFonts w:hint="eastAsia" w:asciiTheme="majorEastAsia" w:hAnsiTheme="majorEastAsia" w:eastAsiaTheme="majorEastAsia"/>
        </w:rPr>
        <w:t>根据教育部关于印发《国家学生体质健康标准（2014年）修订》的通知（教体艺〔2014〕5号）文件要求，体质测试成绩达不到50分者按结业或肄业处理。</w:t>
      </w:r>
    </w:p>
    <w:p>
      <w:pPr>
        <w:pStyle w:val="3"/>
      </w:pPr>
      <w:bookmarkStart w:id="34" w:name="_Toc89793294"/>
      <w:r>
        <w:rPr>
          <w:rFonts w:hint="eastAsia"/>
        </w:rPr>
        <w:t>（三）德智体美劳全面发展培养要求</w:t>
      </w:r>
      <w:bookmarkEnd w:id="34"/>
    </w:p>
    <w:p>
      <w:pPr>
        <w:ind w:firstLine="420" w:firstLineChars="200"/>
        <w:rPr>
          <w:rFonts w:hint="eastAsia" w:asciiTheme="majorEastAsia" w:hAnsiTheme="majorEastAsia" w:eastAsiaTheme="majorEastAsia"/>
        </w:rPr>
      </w:pPr>
      <w:r>
        <w:rPr>
          <w:rFonts w:hint="eastAsia" w:asciiTheme="majorEastAsia" w:hAnsiTheme="majorEastAsia" w:eastAsiaTheme="majorEastAsia"/>
        </w:rPr>
        <w:t>学生在校期间需参加第一课堂学习和参与第二课堂各类综合素质活动，通过综合评价，成绩合格（60分及以上）准予毕业。</w:t>
      </w:r>
    </w:p>
    <w:p>
      <w:pPr>
        <w:rPr>
          <w:rFonts w:hint="eastAsia" w:asciiTheme="majorEastAsia" w:hAnsiTheme="majorEastAsia" w:eastAsiaTheme="majorEastAsia"/>
        </w:rPr>
      </w:pPr>
      <w:r>
        <w:rPr>
          <w:rFonts w:hint="eastAsia" w:asciiTheme="majorEastAsia" w:hAnsiTheme="majorEastAsia" w:eastAsiaTheme="majorEastAsia"/>
        </w:rPr>
        <w:br w:type="page"/>
      </w:r>
      <w:r>
        <w:rPr>
          <w:rFonts w:hint="eastAsia" w:asciiTheme="majorEastAsia" w:hAnsiTheme="majorEastAsia" w:eastAsiaTheme="majorEastAsia"/>
        </w:rPr>
        <w:br w:type="page"/>
      </w:r>
    </w:p>
    <w:p>
      <w:pPr>
        <w:rPr>
          <w:rFonts w:hint="eastAsia" w:asciiTheme="majorEastAsia" w:hAnsiTheme="majorEastAsia" w:eastAsiaTheme="majorEastAsia"/>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rPr>
      </w:pPr>
      <w:r>
        <w:rPr>
          <w:rFonts w:hint="eastAsia" w:asciiTheme="majorEastAsia" w:hAnsiTheme="majorEastAsia" w:eastAsiaTheme="majorEastAsia"/>
          <w:lang w:eastAsia="zh-CN"/>
        </w:rPr>
        <w:drawing>
          <wp:inline distT="0" distB="0" distL="114300" distR="114300">
            <wp:extent cx="5736590" cy="8776335"/>
            <wp:effectExtent l="0" t="0" r="8890" b="1905"/>
            <wp:docPr id="4" name="图片 4" descr="2022级机电一体化现代学徒制教学计划表（3年制）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级机电一体化现代学徒制教学计划表（3年制）_Sheet1"/>
                    <pic:cNvPicPr>
                      <a:picLocks noChangeAspect="1"/>
                    </pic:cNvPicPr>
                  </pic:nvPicPr>
                  <pic:blipFill>
                    <a:blip r:embed="rId7"/>
                    <a:srcRect r="34538" b="40604"/>
                    <a:stretch>
                      <a:fillRect/>
                    </a:stretch>
                  </pic:blipFill>
                  <pic:spPr>
                    <a:xfrm>
                      <a:off x="0" y="0"/>
                      <a:ext cx="5736590" cy="8776335"/>
                    </a:xfrm>
                    <a:prstGeom prst="rect">
                      <a:avLst/>
                    </a:prstGeom>
                  </pic:spPr>
                </pic:pic>
              </a:graphicData>
            </a:graphic>
          </wp:inline>
        </w:drawing>
      </w:r>
    </w:p>
    <w:p>
      <w:pPr>
        <w:ind w:firstLine="420" w:firstLineChars="200"/>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drawing>
          <wp:inline distT="0" distB="0" distL="114300" distR="114300">
            <wp:extent cx="6511290" cy="5735320"/>
            <wp:effectExtent l="0" t="0" r="11430" b="10160"/>
            <wp:docPr id="8" name="图片 8" descr="2022级机电一体化现代学徒制教学计划表（3年制）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2级机电一体化现代学徒制教学计划表（3年制）_Sheet1"/>
                    <pic:cNvPicPr>
                      <a:picLocks noChangeAspect="1"/>
                    </pic:cNvPicPr>
                  </pic:nvPicPr>
                  <pic:blipFill>
                    <a:blip r:embed="rId7"/>
                    <a:srcRect t="59000" r="21518"/>
                    <a:stretch>
                      <a:fillRect/>
                    </a:stretch>
                  </pic:blipFill>
                  <pic:spPr>
                    <a:xfrm>
                      <a:off x="0" y="0"/>
                      <a:ext cx="6511290" cy="5735320"/>
                    </a:xfrm>
                    <a:prstGeom prst="rect">
                      <a:avLst/>
                    </a:prstGeom>
                  </pic:spPr>
                </pic:pic>
              </a:graphicData>
            </a:graphic>
          </wp:inline>
        </w:drawing>
      </w:r>
    </w:p>
    <w:p>
      <w:pPr>
        <w:rPr>
          <w:rFonts w:hint="eastAsia" w:asciiTheme="majorEastAsia" w:hAnsiTheme="majorEastAsia" w:eastAsiaTheme="majorEastAsia"/>
          <w:lang w:eastAsia="zh-CN"/>
        </w:rPr>
        <w:sectPr>
          <w:pgSz w:w="11906" w:h="16838"/>
          <w:pgMar w:top="1440" w:right="102" w:bottom="1440" w:left="102" w:header="851" w:footer="992" w:gutter="0"/>
          <w:cols w:space="425" w:num="1"/>
          <w:docGrid w:type="lines" w:linePitch="312" w:charSpace="0"/>
        </w:sectPr>
      </w:pPr>
    </w:p>
    <w:tbl>
      <w:tblPr>
        <w:tblStyle w:val="15"/>
        <w:tblW w:w="15500" w:type="dxa"/>
        <w:jc w:val="center"/>
        <w:tblLayout w:type="fixed"/>
        <w:tblCellMar>
          <w:top w:w="0" w:type="dxa"/>
          <w:left w:w="108" w:type="dxa"/>
          <w:bottom w:w="0" w:type="dxa"/>
          <w:right w:w="108" w:type="dxa"/>
        </w:tblCellMar>
      </w:tblPr>
      <w:tblGrid>
        <w:gridCol w:w="1650"/>
        <w:gridCol w:w="1782"/>
        <w:gridCol w:w="3305"/>
        <w:gridCol w:w="8763"/>
      </w:tblGrid>
      <w:tr>
        <w:tblPrEx>
          <w:tblCellMar>
            <w:top w:w="0" w:type="dxa"/>
            <w:left w:w="108" w:type="dxa"/>
            <w:bottom w:w="0" w:type="dxa"/>
            <w:right w:w="108" w:type="dxa"/>
          </w:tblCellMar>
        </w:tblPrEx>
        <w:trPr>
          <w:trHeight w:val="319" w:hRule="atLeast"/>
          <w:jc w:val="center"/>
        </w:trPr>
        <w:tc>
          <w:tcPr>
            <w:tcW w:w="15500" w:type="dxa"/>
            <w:gridSpan w:val="4"/>
            <w:tcBorders>
              <w:top w:val="single" w:color="000000" w:sz="4" w:space="0"/>
              <w:left w:val="single" w:color="000000" w:sz="4" w:space="0"/>
              <w:bottom w:val="single" w:color="000000" w:sz="4" w:space="0"/>
              <w:right w:val="single" w:color="000000" w:sz="4" w:space="0"/>
            </w:tcBorders>
            <w:shd w:val="clear" w:color="000000" w:fill="E5E5E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机电一体化</w:t>
            </w:r>
            <w:r>
              <w:rPr>
                <w:rFonts w:hint="eastAsia" w:ascii="宋体" w:hAnsi="宋体" w:eastAsia="宋体" w:cs="宋体"/>
                <w:kern w:val="0"/>
                <w:sz w:val="21"/>
                <w:szCs w:val="21"/>
              </w:rPr>
              <w:t>技术专业职业能力分析表</w:t>
            </w:r>
          </w:p>
        </w:tc>
      </w:tr>
      <w:tr>
        <w:tblPrEx>
          <w:tblCellMar>
            <w:top w:w="0" w:type="dxa"/>
            <w:left w:w="108" w:type="dxa"/>
            <w:bottom w:w="0" w:type="dxa"/>
            <w:right w:w="108" w:type="dxa"/>
          </w:tblCellMar>
        </w:tblPrEx>
        <w:trPr>
          <w:trHeight w:val="270"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000000" w:fill="E5E5E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工作</w:t>
            </w:r>
            <w:r>
              <w:rPr>
                <w:rFonts w:hint="eastAsia" w:ascii="宋体" w:hAnsi="宋体" w:eastAsia="宋体" w:cs="宋体"/>
                <w:kern w:val="0"/>
                <w:sz w:val="21"/>
                <w:szCs w:val="21"/>
                <w:lang w:eastAsia="zh-CN"/>
              </w:rPr>
              <w:t>岗位</w:t>
            </w:r>
          </w:p>
        </w:tc>
        <w:tc>
          <w:tcPr>
            <w:tcW w:w="1782" w:type="dxa"/>
            <w:tcBorders>
              <w:top w:val="single" w:color="000000" w:sz="4" w:space="0"/>
              <w:left w:val="nil"/>
              <w:bottom w:val="single" w:color="000000" w:sz="4" w:space="0"/>
              <w:right w:val="single" w:color="000000" w:sz="4" w:space="0"/>
            </w:tcBorders>
            <w:shd w:val="clear" w:color="000000" w:fill="E5E5E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工作</w:t>
            </w:r>
            <w:r>
              <w:rPr>
                <w:rFonts w:hint="eastAsia" w:ascii="宋体" w:hAnsi="宋体" w:eastAsia="宋体" w:cs="宋体"/>
                <w:kern w:val="0"/>
                <w:sz w:val="21"/>
                <w:szCs w:val="21"/>
                <w:lang w:eastAsia="zh-CN"/>
              </w:rPr>
              <w:t>领域</w:t>
            </w:r>
          </w:p>
        </w:tc>
        <w:tc>
          <w:tcPr>
            <w:tcW w:w="3305" w:type="dxa"/>
            <w:tcBorders>
              <w:top w:val="single" w:color="000000" w:sz="4" w:space="0"/>
              <w:left w:val="nil"/>
              <w:bottom w:val="single" w:color="000000" w:sz="4" w:space="0"/>
              <w:right w:val="single" w:color="000000" w:sz="4" w:space="0"/>
            </w:tcBorders>
            <w:shd w:val="clear" w:color="000000" w:fill="E5E5E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工作任务</w:t>
            </w:r>
          </w:p>
        </w:tc>
        <w:tc>
          <w:tcPr>
            <w:tcW w:w="8763" w:type="dxa"/>
            <w:tcBorders>
              <w:top w:val="single" w:color="000000" w:sz="4" w:space="0"/>
              <w:left w:val="nil"/>
              <w:bottom w:val="single" w:color="000000" w:sz="4" w:space="0"/>
              <w:right w:val="single" w:color="000000" w:sz="4" w:space="0"/>
            </w:tcBorders>
            <w:shd w:val="clear" w:color="000000" w:fill="E5E5E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职业能力</w:t>
            </w:r>
          </w:p>
        </w:tc>
      </w:tr>
      <w:tr>
        <w:tblPrEx>
          <w:tblCellMar>
            <w:top w:w="0" w:type="dxa"/>
            <w:left w:w="108" w:type="dxa"/>
            <w:bottom w:w="0" w:type="dxa"/>
            <w:right w:w="108" w:type="dxa"/>
          </w:tblCellMar>
        </w:tblPrEx>
        <w:trPr>
          <w:trHeight w:val="736" w:hRule="atLeast"/>
          <w:jc w:val="center"/>
        </w:trPr>
        <w:tc>
          <w:tcPr>
            <w:tcW w:w="1650" w:type="dxa"/>
            <w:vMerge w:val="restart"/>
            <w:tcBorders>
              <w:top w:val="single" w:color="000000" w:sz="4" w:space="0"/>
              <w:left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446" w:right="347" w:hanging="158"/>
              <w:textAlignment w:val="auto"/>
              <w:rPr>
                <w:rFonts w:hint="eastAsia" w:ascii="宋体" w:hAnsi="宋体" w:eastAsia="宋体" w:cs="宋体"/>
                <w:sz w:val="21"/>
                <w:szCs w:val="21"/>
              </w:rPr>
            </w:pPr>
            <w:r>
              <w:rPr>
                <w:rFonts w:hint="eastAsia" w:ascii="宋体" w:hAnsi="宋体" w:eastAsia="宋体" w:cs="宋体"/>
                <w:spacing w:val="4"/>
                <w:sz w:val="21"/>
                <w:szCs w:val="21"/>
              </w:rPr>
              <w:t>机电设备</w:t>
            </w:r>
            <w:r>
              <w:rPr>
                <w:rFonts w:hint="eastAsia" w:ascii="宋体" w:hAnsi="宋体" w:eastAsia="宋体" w:cs="宋体"/>
                <w:sz w:val="21"/>
                <w:szCs w:val="21"/>
              </w:rPr>
              <w:t xml:space="preserve"> </w:t>
            </w:r>
            <w:r>
              <w:rPr>
                <w:rFonts w:hint="eastAsia" w:ascii="宋体" w:hAnsi="宋体" w:eastAsia="宋体" w:cs="宋体"/>
                <w:spacing w:val="3"/>
                <w:sz w:val="21"/>
                <w:szCs w:val="21"/>
              </w:rPr>
              <w:t>操作工</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53" w:right="238" w:hanging="154"/>
              <w:textAlignment w:val="auto"/>
              <w:rPr>
                <w:rFonts w:hint="eastAsia" w:ascii="宋体" w:hAnsi="宋体" w:eastAsia="宋体" w:cs="宋体"/>
                <w:sz w:val="21"/>
                <w:szCs w:val="21"/>
              </w:rPr>
            </w:pPr>
            <w:r>
              <w:rPr>
                <w:rFonts w:hint="eastAsia" w:ascii="宋体" w:hAnsi="宋体" w:eastAsia="宋体" w:cs="宋体"/>
                <w:spacing w:val="4"/>
                <w:sz w:val="21"/>
                <w:szCs w:val="21"/>
              </w:rPr>
              <w:t>机电设备</w:t>
            </w:r>
            <w:r>
              <w:rPr>
                <w:rFonts w:hint="eastAsia" w:ascii="宋体" w:hAnsi="宋体" w:eastAsia="宋体" w:cs="宋体"/>
                <w:spacing w:val="3"/>
                <w:sz w:val="21"/>
                <w:szCs w:val="21"/>
              </w:rPr>
              <w:t>操作工</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textAlignment w:val="auto"/>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熟悉安全操作规程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9"/>
              <w:textAlignment w:val="auto"/>
              <w:rPr>
                <w:rFonts w:hint="eastAsia" w:ascii="宋体" w:hAnsi="宋体" w:eastAsia="宋体" w:cs="宋体"/>
                <w:sz w:val="21"/>
                <w:szCs w:val="21"/>
              </w:rPr>
            </w:pPr>
            <w:r>
              <w:rPr>
                <w:rFonts w:hint="eastAsia" w:ascii="宋体" w:hAnsi="宋体" w:eastAsia="宋体" w:cs="宋体"/>
                <w:spacing w:val="4"/>
                <w:sz w:val="21"/>
                <w:szCs w:val="21"/>
              </w:rPr>
              <w:t>1．能</w:t>
            </w:r>
            <w:r>
              <w:rPr>
                <w:rFonts w:hint="eastAsia" w:ascii="宋体" w:hAnsi="宋体" w:eastAsia="宋体" w:cs="宋体"/>
                <w:spacing w:val="2"/>
                <w:sz w:val="21"/>
                <w:szCs w:val="21"/>
              </w:rPr>
              <w:t>够按照安全操作规程进行操作；</w:t>
            </w:r>
          </w:p>
          <w:p>
            <w:pPr>
              <w:keepNext w:val="0"/>
              <w:keepLines w:val="0"/>
              <w:pageBreakBefore w:val="0"/>
              <w:kinsoku/>
              <w:wordWrap/>
              <w:overflowPunct/>
              <w:topLinePunct w:val="0"/>
              <w:autoSpaceDE/>
              <w:autoSpaceDN/>
              <w:bidi w:val="0"/>
              <w:adjustRightInd w:val="0"/>
              <w:snapToGrid w:val="0"/>
              <w:spacing w:line="240" w:lineRule="auto"/>
              <w:ind w:left="11"/>
              <w:textAlignment w:val="auto"/>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2"/>
                <w:sz w:val="21"/>
                <w:szCs w:val="21"/>
              </w:rPr>
              <w:t>能够了解设备的基本性能；</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1"/>
                <w:szCs w:val="21"/>
                <w:lang w:eastAsia="zh-CN"/>
              </w:rPr>
            </w:pPr>
            <w:r>
              <w:rPr>
                <w:rFonts w:hint="eastAsia" w:ascii="宋体" w:hAnsi="宋体" w:eastAsia="宋体" w:cs="宋体"/>
                <w:spacing w:val="10"/>
                <w:sz w:val="21"/>
                <w:szCs w:val="21"/>
              </w:rPr>
              <w:t>3</w:t>
            </w:r>
            <w:r>
              <w:rPr>
                <w:rFonts w:hint="eastAsia" w:ascii="宋体" w:hAnsi="宋体" w:eastAsia="宋体" w:cs="宋体"/>
                <w:spacing w:val="5"/>
                <w:sz w:val="21"/>
                <w:szCs w:val="21"/>
              </w:rPr>
              <w:t>．能够正确使用操作面板上的各项功能。</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655"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5"/>
              <w:textAlignment w:val="auto"/>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3"/>
                <w:sz w:val="21"/>
                <w:szCs w:val="21"/>
              </w:rPr>
              <w:t>.识读零件图、工艺文件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pacing w:val="6"/>
                <w:sz w:val="21"/>
                <w:szCs w:val="21"/>
              </w:rPr>
              <w:t>能读懂零件材料、尺寸公差、形位公差、表面粗糙度及其他技术要求</w:t>
            </w:r>
            <w:r>
              <w:rPr>
                <w:rFonts w:hint="eastAsia" w:ascii="宋体" w:hAnsi="宋体" w:eastAsia="宋体" w:cs="宋体"/>
                <w:spacing w:val="4"/>
                <w:sz w:val="21"/>
                <w:szCs w:val="21"/>
              </w:rPr>
              <w:t>；</w:t>
            </w:r>
            <w:r>
              <w:rPr>
                <w:rFonts w:hint="eastAsia" w:ascii="宋体" w:hAnsi="宋体" w:eastAsia="宋体" w:cs="宋体"/>
                <w:sz w:val="21"/>
                <w:szCs w:val="21"/>
              </w:rPr>
              <w:t xml:space="preserve"> </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spacing w:val="3"/>
                <w:sz w:val="21"/>
                <w:szCs w:val="21"/>
              </w:rPr>
              <w:t>能够理解关联工序的相互影响</w:t>
            </w:r>
            <w:r>
              <w:rPr>
                <w:rFonts w:hint="eastAsia" w:ascii="宋体" w:hAnsi="宋体" w:eastAsia="宋体" w:cs="宋体"/>
                <w:spacing w:val="2"/>
                <w:sz w:val="21"/>
                <w:szCs w:val="21"/>
              </w:rPr>
              <w:t>；</w:t>
            </w:r>
            <w:r>
              <w:rPr>
                <w:rFonts w:hint="eastAsia" w:ascii="宋体" w:hAnsi="宋体" w:eastAsia="宋体" w:cs="宋体"/>
                <w:sz w:val="21"/>
                <w:szCs w:val="21"/>
              </w:rPr>
              <w:t xml:space="preserve">                                   </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1"/>
                <w:szCs w:val="21"/>
                <w:lang w:eastAsia="zh-CN"/>
              </w:rPr>
            </w:pPr>
            <w:r>
              <w:rPr>
                <w:rFonts w:hint="eastAsia" w:ascii="宋体" w:hAnsi="宋体" w:eastAsia="宋体" w:cs="宋体"/>
                <w:spacing w:val="11"/>
                <w:sz w:val="21"/>
                <w:szCs w:val="21"/>
              </w:rPr>
              <w:t>能</w:t>
            </w:r>
            <w:r>
              <w:rPr>
                <w:rFonts w:hint="eastAsia" w:ascii="宋体" w:hAnsi="宋体" w:eastAsia="宋体" w:cs="宋体"/>
                <w:spacing w:val="6"/>
                <w:sz w:val="21"/>
                <w:szCs w:val="21"/>
              </w:rPr>
              <w:t>够知道本工序的不符合要求的项目，可能会产生失效的影响。</w:t>
            </w:r>
          </w:p>
        </w:tc>
      </w:tr>
      <w:tr>
        <w:tblPrEx>
          <w:tblCellMar>
            <w:top w:w="0" w:type="dxa"/>
            <w:left w:w="108" w:type="dxa"/>
            <w:bottom w:w="0" w:type="dxa"/>
            <w:right w:w="108" w:type="dxa"/>
          </w:tblCellMar>
        </w:tblPrEx>
        <w:trPr>
          <w:trHeight w:val="1375"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9"/>
              <w:textAlignment w:val="auto"/>
              <w:rPr>
                <w:rFonts w:hint="eastAsia" w:ascii="宋体" w:hAnsi="宋体" w:eastAsia="宋体" w:cs="宋体"/>
                <w:sz w:val="21"/>
                <w:szCs w:val="21"/>
              </w:rPr>
            </w:pPr>
            <w:r>
              <w:rPr>
                <w:rFonts w:hint="eastAsia" w:ascii="宋体" w:hAnsi="宋体" w:eastAsia="宋体" w:cs="宋体"/>
                <w:spacing w:val="2"/>
                <w:sz w:val="21"/>
                <w:szCs w:val="21"/>
              </w:rPr>
              <w:t>3.执行加工工艺文</w:t>
            </w:r>
            <w:r>
              <w:rPr>
                <w:rFonts w:hint="eastAsia" w:ascii="宋体" w:hAnsi="宋体" w:eastAsia="宋体" w:cs="宋体"/>
                <w:spacing w:val="1"/>
                <w:sz w:val="21"/>
                <w:szCs w:val="21"/>
              </w:rPr>
              <w:t>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1" w:right="3869" w:firstLine="2"/>
              <w:jc w:val="left"/>
              <w:textAlignment w:val="auto"/>
              <w:rPr>
                <w:rFonts w:hint="eastAsia" w:ascii="宋体" w:hAnsi="宋体" w:eastAsia="宋体" w:cs="宋体"/>
                <w:sz w:val="21"/>
                <w:szCs w:val="21"/>
              </w:rPr>
            </w:pPr>
            <w:r>
              <w:rPr>
                <w:rFonts w:hint="eastAsia" w:ascii="宋体" w:hAnsi="宋体" w:eastAsia="宋体" w:cs="宋体"/>
                <w:spacing w:val="4"/>
                <w:sz w:val="21"/>
                <w:szCs w:val="21"/>
              </w:rPr>
              <w:t>1.能够正确使用通用或专用检具和夹具</w:t>
            </w:r>
            <w:r>
              <w:rPr>
                <w:rFonts w:hint="eastAsia" w:ascii="宋体" w:hAnsi="宋体" w:eastAsia="宋体" w:cs="宋体"/>
                <w:spacing w:val="1"/>
                <w:sz w:val="21"/>
                <w:szCs w:val="21"/>
              </w:rPr>
              <w:t>；</w:t>
            </w:r>
            <w:r>
              <w:rPr>
                <w:rFonts w:hint="eastAsia" w:ascii="宋体" w:hAnsi="宋体" w:eastAsia="宋体" w:cs="宋体"/>
                <w:sz w:val="21"/>
                <w:szCs w:val="21"/>
              </w:rPr>
              <w:t xml:space="preserve">                            </w:t>
            </w:r>
            <w:r>
              <w:rPr>
                <w:rFonts w:hint="eastAsia" w:ascii="宋体" w:hAnsi="宋体" w:eastAsia="宋体" w:cs="宋体"/>
                <w:spacing w:val="4"/>
                <w:sz w:val="21"/>
                <w:szCs w:val="21"/>
              </w:rPr>
              <w:t>2.能够正确理解、输入、编辑工艺参数</w:t>
            </w:r>
            <w:r>
              <w:rPr>
                <w:rFonts w:hint="eastAsia" w:ascii="宋体" w:hAnsi="宋体" w:eastAsia="宋体" w:cs="宋体"/>
                <w:spacing w:val="1"/>
                <w:sz w:val="21"/>
                <w:szCs w:val="21"/>
              </w:rPr>
              <w:t>；</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2"/>
                <w:position w:val="1"/>
                <w:sz w:val="21"/>
                <w:szCs w:val="21"/>
              </w:rPr>
              <w:t xml:space="preserve">3.  </w:t>
            </w:r>
            <w:r>
              <w:rPr>
                <w:rFonts w:hint="eastAsia" w:ascii="宋体" w:hAnsi="宋体" w:eastAsia="宋体" w:cs="宋体"/>
                <w:spacing w:val="-2"/>
                <w:sz w:val="21"/>
                <w:szCs w:val="21"/>
              </w:rPr>
              <w:t>能够正</w:t>
            </w:r>
            <w:r>
              <w:rPr>
                <w:rFonts w:hint="eastAsia" w:ascii="宋体" w:hAnsi="宋体" w:eastAsia="宋体" w:cs="宋体"/>
                <w:spacing w:val="-1"/>
                <w:sz w:val="21"/>
                <w:szCs w:val="21"/>
              </w:rPr>
              <w:t>确设定工件坐标系；</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6"/>
                <w:position w:val="1"/>
                <w:sz w:val="21"/>
                <w:szCs w:val="21"/>
              </w:rPr>
              <w:t xml:space="preserve">4. </w:t>
            </w:r>
            <w:r>
              <w:rPr>
                <w:rFonts w:hint="eastAsia" w:ascii="宋体" w:hAnsi="宋体" w:eastAsia="宋体" w:cs="宋体"/>
                <w:spacing w:val="-4"/>
                <w:position w:val="1"/>
                <w:sz w:val="21"/>
                <w:szCs w:val="21"/>
              </w:rPr>
              <w:t xml:space="preserve"> </w:t>
            </w:r>
            <w:r>
              <w:rPr>
                <w:rFonts w:hint="eastAsia" w:ascii="宋体" w:hAnsi="宋体" w:eastAsia="宋体" w:cs="宋体"/>
                <w:spacing w:val="-3"/>
                <w:sz w:val="21"/>
                <w:szCs w:val="21"/>
              </w:rPr>
              <w:t>能正确换装刀具；</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4"/>
                <w:position w:val="1"/>
                <w:sz w:val="21"/>
                <w:szCs w:val="21"/>
              </w:rPr>
              <w:t xml:space="preserve">5.  </w:t>
            </w:r>
            <w:r>
              <w:rPr>
                <w:rFonts w:hint="eastAsia" w:ascii="宋体" w:hAnsi="宋体" w:eastAsia="宋体" w:cs="宋体"/>
                <w:spacing w:val="-3"/>
                <w:sz w:val="21"/>
                <w:szCs w:val="21"/>
              </w:rPr>
              <w:t>能</w:t>
            </w:r>
            <w:r>
              <w:rPr>
                <w:rFonts w:hint="eastAsia" w:ascii="宋体" w:hAnsi="宋体" w:eastAsia="宋体" w:cs="宋体"/>
                <w:spacing w:val="-2"/>
                <w:sz w:val="21"/>
                <w:szCs w:val="21"/>
              </w:rPr>
              <w:t>正确修正刀补参数；</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2"/>
                <w:position w:val="1"/>
                <w:sz w:val="21"/>
                <w:szCs w:val="21"/>
              </w:rPr>
              <w:t xml:space="preserve">6.  </w:t>
            </w:r>
            <w:r>
              <w:rPr>
                <w:rFonts w:hint="eastAsia" w:ascii="宋体" w:hAnsi="宋体" w:eastAsia="宋体" w:cs="宋体"/>
                <w:spacing w:val="2"/>
                <w:sz w:val="21"/>
                <w:szCs w:val="21"/>
              </w:rPr>
              <w:t>能正</w:t>
            </w:r>
            <w:r>
              <w:rPr>
                <w:rFonts w:hint="eastAsia" w:ascii="宋体" w:hAnsi="宋体" w:eastAsia="宋体" w:cs="宋体"/>
                <w:spacing w:val="1"/>
                <w:sz w:val="21"/>
                <w:szCs w:val="21"/>
              </w:rPr>
              <w:t>确输入、调试、运行程序。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866"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2"/>
                <w:sz w:val="21"/>
                <w:szCs w:val="21"/>
              </w:rPr>
              <w:t>4.自检加工零件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spacing w:val="-2"/>
                <w:sz w:val="21"/>
                <w:szCs w:val="21"/>
              </w:rPr>
              <w:t>1.  能够正确使用</w:t>
            </w:r>
            <w:r>
              <w:rPr>
                <w:rFonts w:hint="eastAsia" w:ascii="宋体" w:hAnsi="宋体" w:eastAsia="宋体" w:cs="宋体"/>
                <w:spacing w:val="-1"/>
                <w:sz w:val="21"/>
                <w:szCs w:val="21"/>
              </w:rPr>
              <w:t>量检具并做好维护保养；</w:t>
            </w:r>
            <w:r>
              <w:rPr>
                <w:rFonts w:hint="eastAsia" w:ascii="宋体" w:hAnsi="宋体" w:eastAsia="宋体" w:cs="宋体"/>
                <w:sz w:val="21"/>
                <w:szCs w:val="21"/>
              </w:rPr>
              <w:t xml:space="preserve">                                                </w:t>
            </w:r>
            <w:r>
              <w:rPr>
                <w:rFonts w:hint="eastAsia" w:ascii="宋体" w:hAnsi="宋体" w:eastAsia="宋体" w:cs="宋体"/>
                <w:spacing w:val="6"/>
                <w:sz w:val="21"/>
                <w:szCs w:val="21"/>
              </w:rPr>
              <w:t>3.</w:t>
            </w:r>
            <w:r>
              <w:rPr>
                <w:rFonts w:hint="eastAsia" w:ascii="宋体" w:hAnsi="宋体" w:eastAsia="宋体" w:cs="宋体"/>
                <w:spacing w:val="3"/>
                <w:sz w:val="21"/>
                <w:szCs w:val="21"/>
              </w:rPr>
              <w:t>能够按照工艺文件要求使用量检具正确做好首检、过程检验、尾检；</w:t>
            </w:r>
            <w:r>
              <w:rPr>
                <w:rFonts w:hint="eastAsia" w:ascii="宋体" w:hAnsi="宋体" w:eastAsia="宋体" w:cs="宋体"/>
                <w:sz w:val="21"/>
                <w:szCs w:val="21"/>
              </w:rPr>
              <w:t xml:space="preserve">                      </w:t>
            </w:r>
            <w:r>
              <w:rPr>
                <w:rFonts w:hint="eastAsia" w:ascii="宋体" w:hAnsi="宋体" w:eastAsia="宋体" w:cs="宋体"/>
                <w:spacing w:val="12"/>
                <w:sz w:val="21"/>
                <w:szCs w:val="21"/>
              </w:rPr>
              <w:t>4.能够简单分析不合格品产生的原因(如刀具、设备等因素)并采取预防措施包括零件的追溯</w:t>
            </w:r>
          </w:p>
        </w:tc>
      </w:tr>
      <w:tr>
        <w:tblPrEx>
          <w:tblCellMar>
            <w:top w:w="0" w:type="dxa"/>
            <w:left w:w="108" w:type="dxa"/>
            <w:bottom w:w="0" w:type="dxa"/>
            <w:right w:w="108" w:type="dxa"/>
          </w:tblCellMar>
        </w:tblPrEx>
        <w:trPr>
          <w:trHeight w:val="1563"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6"/>
              <w:textAlignment w:val="auto"/>
              <w:rPr>
                <w:rFonts w:hint="eastAsia" w:ascii="宋体" w:hAnsi="宋体" w:eastAsia="宋体" w:cs="宋体"/>
                <w:sz w:val="21"/>
                <w:szCs w:val="21"/>
              </w:rPr>
            </w:pPr>
            <w:r>
              <w:rPr>
                <w:rFonts w:hint="eastAsia" w:ascii="宋体" w:hAnsi="宋体" w:eastAsia="宋体" w:cs="宋体"/>
                <w:spacing w:val="4"/>
                <w:sz w:val="21"/>
                <w:szCs w:val="21"/>
              </w:rPr>
              <w:t>5.操作</w:t>
            </w:r>
            <w:r>
              <w:rPr>
                <w:rFonts w:hint="eastAsia" w:ascii="宋体" w:hAnsi="宋体" w:eastAsia="宋体" w:cs="宋体"/>
                <w:spacing w:val="2"/>
                <w:sz w:val="21"/>
                <w:szCs w:val="21"/>
              </w:rPr>
              <w:t>设备维护和保养</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83" w:firstLine="31"/>
              <w:jc w:val="left"/>
              <w:textAlignment w:val="auto"/>
              <w:rPr>
                <w:rFonts w:hint="eastAsia" w:ascii="宋体" w:hAnsi="宋体" w:eastAsia="宋体" w:cs="宋体"/>
                <w:sz w:val="21"/>
                <w:szCs w:val="21"/>
              </w:rPr>
            </w:pPr>
            <w:r>
              <w:rPr>
                <w:rFonts w:hint="eastAsia" w:ascii="宋体" w:hAnsi="宋体" w:eastAsia="宋体" w:cs="宋体"/>
                <w:spacing w:val="-4"/>
                <w:sz w:val="21"/>
                <w:szCs w:val="21"/>
              </w:rPr>
              <w:t>1.了解</w:t>
            </w:r>
            <w:r>
              <w:rPr>
                <w:rFonts w:hint="eastAsia" w:ascii="宋体" w:hAnsi="宋体" w:eastAsia="宋体" w:cs="宋体"/>
                <w:spacing w:val="-3"/>
                <w:sz w:val="21"/>
                <w:szCs w:val="21"/>
              </w:rPr>
              <w:t>设</w:t>
            </w:r>
            <w:r>
              <w:rPr>
                <w:rFonts w:hint="eastAsia" w:ascii="宋体" w:hAnsi="宋体" w:eastAsia="宋体" w:cs="宋体"/>
                <w:spacing w:val="-2"/>
                <w:sz w:val="21"/>
                <w:szCs w:val="21"/>
              </w:rPr>
              <w:t>备的基础知识；</w:t>
            </w:r>
          </w:p>
          <w:p>
            <w:pPr>
              <w:keepNext w:val="0"/>
              <w:keepLines w:val="0"/>
              <w:pageBreakBefore w:val="0"/>
              <w:kinsoku/>
              <w:wordWrap/>
              <w:overflowPunct/>
              <w:topLinePunct w:val="0"/>
              <w:autoSpaceDE/>
              <w:autoSpaceDN/>
              <w:bidi w:val="0"/>
              <w:adjustRightInd w:val="0"/>
              <w:snapToGrid w:val="0"/>
              <w:spacing w:line="240" w:lineRule="auto"/>
              <w:ind w:right="3696" w:firstLine="5"/>
              <w:jc w:val="left"/>
              <w:textAlignment w:val="auto"/>
              <w:rPr>
                <w:rFonts w:hint="eastAsia" w:ascii="宋体" w:hAnsi="宋体" w:eastAsia="宋体" w:cs="宋体"/>
                <w:sz w:val="21"/>
                <w:szCs w:val="21"/>
              </w:rPr>
            </w:pPr>
            <w:r>
              <w:rPr>
                <w:rFonts w:hint="eastAsia" w:ascii="宋体" w:hAnsi="宋体" w:eastAsia="宋体" w:cs="宋体"/>
                <w:spacing w:val="12"/>
                <w:sz w:val="21"/>
                <w:szCs w:val="21"/>
              </w:rPr>
              <w:t>2</w:t>
            </w:r>
            <w:r>
              <w:rPr>
                <w:rFonts w:hint="eastAsia" w:ascii="宋体" w:hAnsi="宋体" w:eastAsia="宋体" w:cs="宋体"/>
                <w:spacing w:val="7"/>
                <w:sz w:val="21"/>
                <w:szCs w:val="21"/>
              </w:rPr>
              <w:t>．能够对设备突发状况(如断刀、撞刀等)作出应急反应；</w:t>
            </w:r>
            <w:r>
              <w:rPr>
                <w:rFonts w:hint="eastAsia" w:ascii="宋体" w:hAnsi="宋体" w:eastAsia="宋体" w:cs="宋体"/>
                <w:sz w:val="21"/>
                <w:szCs w:val="21"/>
              </w:rPr>
              <w:t xml:space="preserve">          </w:t>
            </w:r>
            <w:r>
              <w:rPr>
                <w:rFonts w:hint="eastAsia" w:ascii="宋体" w:hAnsi="宋体" w:eastAsia="宋体" w:cs="宋体"/>
                <w:spacing w:val="13"/>
                <w:sz w:val="21"/>
                <w:szCs w:val="21"/>
              </w:rPr>
              <w:t>3.能够对设备故障进行初步判断(对简单故障进行排除)并及时上报</w:t>
            </w:r>
            <w:r>
              <w:rPr>
                <w:rFonts w:hint="eastAsia" w:ascii="宋体" w:hAnsi="宋体" w:eastAsia="宋体" w:cs="宋体"/>
                <w:spacing w:val="9"/>
                <w:sz w:val="21"/>
                <w:szCs w:val="21"/>
              </w:rPr>
              <w:t>；</w:t>
            </w:r>
            <w:r>
              <w:rPr>
                <w:rFonts w:hint="eastAsia" w:ascii="宋体" w:hAnsi="宋体" w:eastAsia="宋体" w:cs="宋体"/>
                <w:sz w:val="21"/>
                <w:szCs w:val="21"/>
              </w:rPr>
              <w:t xml:space="preserve"> 4.能够对设备进行点检并正确记录；</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1"/>
                <w:position w:val="13"/>
                <w:sz w:val="21"/>
                <w:szCs w:val="21"/>
              </w:rPr>
              <w:t>4.能正确执行设</w:t>
            </w:r>
            <w:r>
              <w:rPr>
                <w:rFonts w:hint="eastAsia" w:ascii="宋体" w:hAnsi="宋体" w:eastAsia="宋体" w:cs="宋体"/>
                <w:position w:val="13"/>
                <w:sz w:val="21"/>
                <w:szCs w:val="21"/>
              </w:rPr>
              <w:t>备保养规范。</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1124" w:hRule="atLeast"/>
          <w:jc w:val="center"/>
        </w:trPr>
        <w:tc>
          <w:tcPr>
            <w:tcW w:w="1650" w:type="dxa"/>
            <w:vMerge w:val="continue"/>
            <w:tcBorders>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6"/>
              <w:textAlignment w:val="auto"/>
              <w:rPr>
                <w:rFonts w:hint="eastAsia" w:ascii="宋体" w:hAnsi="宋体" w:eastAsia="宋体" w:cs="宋体"/>
                <w:sz w:val="21"/>
                <w:szCs w:val="21"/>
              </w:rPr>
            </w:pPr>
            <w:r>
              <w:rPr>
                <w:rFonts w:hint="eastAsia" w:ascii="宋体" w:hAnsi="宋体" w:eastAsia="宋体" w:cs="宋体"/>
                <w:spacing w:val="8"/>
                <w:sz w:val="21"/>
                <w:szCs w:val="21"/>
              </w:rPr>
              <w:t>6.现场管理(5</w:t>
            </w:r>
            <w:r>
              <w:rPr>
                <w:rFonts w:hint="eastAsia" w:ascii="宋体" w:hAnsi="宋体" w:eastAsia="宋体" w:cs="宋体"/>
                <w:sz w:val="21"/>
                <w:szCs w:val="21"/>
              </w:rPr>
              <w:t>S</w:t>
            </w:r>
            <w:r>
              <w:rPr>
                <w:rFonts w:hint="eastAsia" w:ascii="宋体" w:hAnsi="宋体" w:eastAsia="宋体" w:cs="宋体"/>
                <w:spacing w:val="8"/>
                <w:sz w:val="21"/>
                <w:szCs w:val="21"/>
              </w:rPr>
              <w:t xml:space="preserve"> 管理</w:t>
            </w:r>
            <w:r>
              <w:rPr>
                <w:rFonts w:hint="eastAsia" w:ascii="宋体" w:hAnsi="宋体" w:eastAsia="宋体" w:cs="宋体"/>
                <w:spacing w:val="7"/>
                <w:sz w:val="21"/>
                <w:szCs w:val="21"/>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16"/>
                <w:sz w:val="21"/>
                <w:szCs w:val="21"/>
              </w:rPr>
              <w:t>1</w:t>
            </w:r>
            <w:r>
              <w:rPr>
                <w:rFonts w:hint="eastAsia" w:ascii="宋体" w:hAnsi="宋体" w:eastAsia="宋体" w:cs="宋体"/>
                <w:spacing w:val="9"/>
                <w:sz w:val="21"/>
                <w:szCs w:val="21"/>
              </w:rPr>
              <w:t>.能够区分必需物品与非必须物品(整理)；</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20"/>
                <w:sz w:val="21"/>
                <w:szCs w:val="21"/>
              </w:rPr>
              <w:t>2</w:t>
            </w:r>
            <w:r>
              <w:rPr>
                <w:rFonts w:hint="eastAsia" w:ascii="宋体" w:hAnsi="宋体" w:eastAsia="宋体" w:cs="宋体"/>
                <w:spacing w:val="12"/>
                <w:sz w:val="21"/>
                <w:szCs w:val="21"/>
              </w:rPr>
              <w:t>.</w:t>
            </w:r>
            <w:r>
              <w:rPr>
                <w:rFonts w:hint="eastAsia" w:ascii="宋体" w:hAnsi="宋体" w:eastAsia="宋体" w:cs="宋体"/>
                <w:spacing w:val="10"/>
                <w:sz w:val="21"/>
                <w:szCs w:val="21"/>
              </w:rPr>
              <w:t>能够立即取到必需品及非必需品(整顿)；</w:t>
            </w:r>
          </w:p>
          <w:p>
            <w:pPr>
              <w:keepNext w:val="0"/>
              <w:keepLines w:val="0"/>
              <w:pageBreakBefore w:val="0"/>
              <w:kinsoku/>
              <w:wordWrap/>
              <w:overflowPunct/>
              <w:topLinePunct w:val="0"/>
              <w:autoSpaceDE/>
              <w:autoSpaceDN/>
              <w:bidi w:val="0"/>
              <w:adjustRightInd w:val="0"/>
              <w:snapToGrid w:val="0"/>
              <w:spacing w:line="240" w:lineRule="auto"/>
              <w:ind w:right="749" w:firstLine="9"/>
              <w:jc w:val="left"/>
              <w:textAlignment w:val="auto"/>
              <w:rPr>
                <w:rFonts w:hint="eastAsia" w:ascii="宋体" w:hAnsi="宋体" w:eastAsia="宋体" w:cs="宋体"/>
                <w:sz w:val="21"/>
                <w:szCs w:val="21"/>
              </w:rPr>
            </w:pPr>
            <w:r>
              <w:rPr>
                <w:rFonts w:hint="eastAsia" w:ascii="宋体" w:hAnsi="宋体" w:eastAsia="宋体" w:cs="宋体"/>
                <w:spacing w:val="6"/>
                <w:sz w:val="21"/>
                <w:szCs w:val="21"/>
              </w:rPr>
              <w:t>3.能够保证工作场所、环境、仪器设备、材料、工具上无灰尘、污垢、碎屑、泥沙(清扫)</w:t>
            </w:r>
            <w:r>
              <w:rPr>
                <w:rFonts w:hint="eastAsia" w:ascii="宋体" w:hAnsi="宋体" w:eastAsia="宋体" w:cs="宋体"/>
                <w:spacing w:val="4"/>
                <w:sz w:val="21"/>
                <w:szCs w:val="21"/>
              </w:rPr>
              <w:t>；</w:t>
            </w:r>
            <w:r>
              <w:rPr>
                <w:rFonts w:hint="eastAsia" w:ascii="宋体" w:hAnsi="宋体" w:eastAsia="宋体" w:cs="宋体"/>
                <w:sz w:val="21"/>
                <w:szCs w:val="21"/>
              </w:rPr>
              <w:t xml:space="preserve"> </w:t>
            </w:r>
            <w:r>
              <w:rPr>
                <w:rFonts w:hint="eastAsia" w:ascii="宋体" w:hAnsi="宋体" w:eastAsia="宋体" w:cs="宋体"/>
                <w:spacing w:val="18"/>
                <w:sz w:val="21"/>
                <w:szCs w:val="21"/>
              </w:rPr>
              <w:t>4</w:t>
            </w:r>
            <w:r>
              <w:rPr>
                <w:rFonts w:hint="eastAsia" w:ascii="宋体" w:hAnsi="宋体" w:eastAsia="宋体" w:cs="宋体"/>
                <w:spacing w:val="17"/>
                <w:sz w:val="21"/>
                <w:szCs w:val="21"/>
              </w:rPr>
              <w:t>.</w:t>
            </w:r>
            <w:r>
              <w:rPr>
                <w:rFonts w:hint="eastAsia" w:ascii="宋体" w:hAnsi="宋体" w:eastAsia="宋体" w:cs="宋体"/>
                <w:spacing w:val="9"/>
                <w:sz w:val="21"/>
                <w:szCs w:val="21"/>
              </w:rPr>
              <w:t>在整理、整顿清扫之后日常的维护活动形成制度和习惯(清洁)；</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5.培养全员的工作习惯、组织纪律和敬业精神(修养)</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1369" w:hRule="atLeast"/>
          <w:jc w:val="center"/>
        </w:trPr>
        <w:tc>
          <w:tcPr>
            <w:tcW w:w="1650" w:type="dxa"/>
            <w:vMerge w:val="restart"/>
            <w:tcBorders>
              <w:top w:val="single" w:color="000000" w:sz="4" w:space="0"/>
              <w:left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09"/>
              <w:textAlignment w:val="auto"/>
              <w:rPr>
                <w:rFonts w:hint="eastAsia" w:ascii="宋体" w:hAnsi="宋体" w:eastAsia="宋体" w:cs="宋体"/>
                <w:sz w:val="21"/>
                <w:szCs w:val="21"/>
              </w:rPr>
            </w:pPr>
            <w:r>
              <w:rPr>
                <w:rFonts w:hint="eastAsia" w:ascii="宋体" w:hAnsi="宋体" w:eastAsia="宋体" w:cs="宋体"/>
                <w:spacing w:val="3"/>
                <w:position w:val="11"/>
                <w:sz w:val="21"/>
                <w:szCs w:val="21"/>
              </w:rPr>
              <w:t>机电设</w:t>
            </w:r>
          </w:p>
          <w:p>
            <w:pPr>
              <w:keepNext w:val="0"/>
              <w:keepLines w:val="0"/>
              <w:pageBreakBefore w:val="0"/>
              <w:kinsoku/>
              <w:wordWrap/>
              <w:overflowPunct/>
              <w:topLinePunct w:val="0"/>
              <w:autoSpaceDE/>
              <w:autoSpaceDN/>
              <w:bidi w:val="0"/>
              <w:adjustRightInd w:val="0"/>
              <w:snapToGrid w:val="0"/>
              <w:spacing w:line="240" w:lineRule="auto"/>
              <w:ind w:left="196"/>
              <w:textAlignment w:val="auto"/>
              <w:rPr>
                <w:rFonts w:hint="eastAsia" w:ascii="宋体" w:hAnsi="宋体" w:eastAsia="宋体" w:cs="宋体"/>
                <w:sz w:val="21"/>
                <w:szCs w:val="21"/>
              </w:rPr>
            </w:pPr>
            <w:r>
              <w:rPr>
                <w:rFonts w:hint="eastAsia" w:ascii="宋体" w:hAnsi="宋体" w:eastAsia="宋体" w:cs="宋体"/>
                <w:spacing w:val="-8"/>
                <w:sz w:val="21"/>
                <w:szCs w:val="21"/>
              </w:rPr>
              <w:t>备</w:t>
            </w:r>
            <w:r>
              <w:rPr>
                <w:rFonts w:hint="eastAsia" w:ascii="宋体" w:hAnsi="宋体" w:eastAsia="宋体" w:cs="宋体"/>
                <w:spacing w:val="-7"/>
                <w:sz w:val="21"/>
                <w:szCs w:val="21"/>
              </w:rPr>
              <w:t>安装、</w:t>
            </w:r>
          </w:p>
          <w:p>
            <w:pPr>
              <w:keepNext w:val="0"/>
              <w:keepLines w:val="0"/>
              <w:pageBreakBefore w:val="0"/>
              <w:kinsoku/>
              <w:wordWrap/>
              <w:overflowPunct/>
              <w:topLinePunct w:val="0"/>
              <w:autoSpaceDE/>
              <w:autoSpaceDN/>
              <w:bidi w:val="0"/>
              <w:adjustRightInd w:val="0"/>
              <w:snapToGrid w:val="0"/>
              <w:spacing w:line="240" w:lineRule="auto"/>
              <w:ind w:left="194"/>
              <w:textAlignment w:val="auto"/>
              <w:rPr>
                <w:rFonts w:hint="eastAsia" w:ascii="宋体" w:hAnsi="宋体" w:eastAsia="宋体" w:cs="宋体"/>
                <w:sz w:val="21"/>
                <w:szCs w:val="21"/>
              </w:rPr>
            </w:pPr>
            <w:r>
              <w:rPr>
                <w:rFonts w:hint="eastAsia" w:ascii="宋体" w:hAnsi="宋体" w:eastAsia="宋体" w:cs="宋体"/>
                <w:spacing w:val="-44"/>
                <w:sz w:val="21"/>
                <w:szCs w:val="21"/>
              </w:rPr>
              <w:t>调</w:t>
            </w:r>
            <w:r>
              <w:rPr>
                <w:rFonts w:hint="eastAsia" w:ascii="宋体" w:hAnsi="宋体" w:eastAsia="宋体" w:cs="宋体"/>
                <w:spacing w:val="-41"/>
                <w:sz w:val="21"/>
                <w:szCs w:val="21"/>
              </w:rPr>
              <w:t>试、 维</w:t>
            </w:r>
          </w:p>
          <w:p>
            <w:pPr>
              <w:keepNext w:val="0"/>
              <w:keepLines w:val="0"/>
              <w:pageBreakBefore w:val="0"/>
              <w:kinsoku/>
              <w:wordWrap/>
              <w:overflowPunct/>
              <w:topLinePunct w:val="0"/>
              <w:autoSpaceDE/>
              <w:autoSpaceDN/>
              <w:bidi w:val="0"/>
              <w:adjustRightInd w:val="0"/>
              <w:snapToGrid w:val="0"/>
              <w:spacing w:line="240" w:lineRule="auto"/>
              <w:ind w:left="312"/>
              <w:textAlignment w:val="auto"/>
              <w:rPr>
                <w:rFonts w:hint="eastAsia" w:ascii="宋体" w:hAnsi="宋体" w:eastAsia="宋体" w:cs="宋体"/>
                <w:sz w:val="21"/>
                <w:szCs w:val="21"/>
              </w:rPr>
            </w:pPr>
            <w:r>
              <w:rPr>
                <w:rFonts w:hint="eastAsia" w:ascii="宋体" w:hAnsi="宋体" w:eastAsia="宋体" w:cs="宋体"/>
                <w:spacing w:val="2"/>
                <w:position w:val="11"/>
                <w:sz w:val="21"/>
                <w:szCs w:val="21"/>
              </w:rPr>
              <w:t>护及维</w:t>
            </w:r>
          </w:p>
          <w:p>
            <w:pPr>
              <w:keepNext w:val="0"/>
              <w:keepLines w:val="0"/>
              <w:pageBreakBefore w:val="0"/>
              <w:kinsoku/>
              <w:wordWrap/>
              <w:overflowPunct/>
              <w:topLinePunct w:val="0"/>
              <w:autoSpaceDE/>
              <w:autoSpaceDN/>
              <w:bidi w:val="0"/>
              <w:adjustRightInd w:val="0"/>
              <w:snapToGrid w:val="0"/>
              <w:spacing w:line="240" w:lineRule="auto"/>
              <w:ind w:left="627"/>
              <w:textAlignment w:val="auto"/>
              <w:rPr>
                <w:rFonts w:hint="eastAsia" w:ascii="宋体" w:hAnsi="宋体" w:eastAsia="宋体" w:cs="宋体"/>
                <w:sz w:val="21"/>
                <w:szCs w:val="21"/>
              </w:rPr>
            </w:pPr>
            <w:r>
              <w:rPr>
                <w:rFonts w:hint="eastAsia" w:ascii="宋体" w:hAnsi="宋体" w:eastAsia="宋体" w:cs="宋体"/>
                <w:sz w:val="21"/>
                <w:szCs w:val="21"/>
              </w:rPr>
              <w:t>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4"/>
                <w:position w:val="11"/>
                <w:sz w:val="21"/>
                <w:szCs w:val="21"/>
              </w:rPr>
              <w:t>机电设备</w:t>
            </w:r>
          </w:p>
          <w:p>
            <w:pPr>
              <w:keepNext w:val="0"/>
              <w:keepLines w:val="0"/>
              <w:pageBreakBefore w:val="0"/>
              <w:kinsoku/>
              <w:wordWrap/>
              <w:overflowPunct/>
              <w:topLinePunct w:val="0"/>
              <w:autoSpaceDE/>
              <w:autoSpaceDN/>
              <w:bidi w:val="0"/>
              <w:adjustRightInd w:val="0"/>
              <w:snapToGrid w:val="0"/>
              <w:spacing w:line="240" w:lineRule="auto"/>
              <w:ind w:left="324"/>
              <w:textAlignment w:val="auto"/>
              <w:rPr>
                <w:rFonts w:hint="eastAsia" w:ascii="宋体" w:hAnsi="宋体" w:eastAsia="宋体" w:cs="宋体"/>
                <w:sz w:val="21"/>
                <w:szCs w:val="21"/>
              </w:rPr>
            </w:pPr>
            <w:r>
              <w:rPr>
                <w:rFonts w:hint="eastAsia" w:ascii="宋体" w:hAnsi="宋体" w:eastAsia="宋体" w:cs="宋体"/>
                <w:spacing w:val="-2"/>
                <w:sz w:val="21"/>
                <w:szCs w:val="21"/>
              </w:rPr>
              <w:t>安</w:t>
            </w:r>
            <w:r>
              <w:rPr>
                <w:rFonts w:hint="eastAsia" w:ascii="宋体" w:hAnsi="宋体" w:eastAsia="宋体" w:cs="宋体"/>
                <w:spacing w:val="-1"/>
                <w:sz w:val="21"/>
                <w:szCs w:val="21"/>
              </w:rPr>
              <w:t>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5"/>
              <w:textAlignment w:val="auto"/>
              <w:rPr>
                <w:rFonts w:hint="eastAsia" w:ascii="宋体" w:hAnsi="宋体" w:eastAsia="宋体" w:cs="宋体"/>
                <w:sz w:val="21"/>
                <w:szCs w:val="21"/>
              </w:rPr>
            </w:pPr>
            <w:r>
              <w:rPr>
                <w:rFonts w:hint="eastAsia" w:ascii="宋体" w:hAnsi="宋体" w:eastAsia="宋体" w:cs="宋体"/>
                <w:spacing w:val="-2"/>
                <w:sz w:val="21"/>
                <w:szCs w:val="21"/>
              </w:rPr>
              <w:t>1.设备机械安装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8"/>
                <w:position w:val="11"/>
                <w:sz w:val="21"/>
                <w:szCs w:val="21"/>
              </w:rPr>
              <w:t>1</w:t>
            </w:r>
            <w:r>
              <w:rPr>
                <w:rFonts w:hint="eastAsia" w:ascii="宋体" w:hAnsi="宋体" w:eastAsia="宋体" w:cs="宋体"/>
                <w:spacing w:val="5"/>
                <w:position w:val="11"/>
                <w:sz w:val="21"/>
                <w:szCs w:val="21"/>
              </w:rPr>
              <w:t>.</w:t>
            </w:r>
            <w:r>
              <w:rPr>
                <w:rFonts w:hint="eastAsia" w:ascii="宋体" w:hAnsi="宋体" w:eastAsia="宋体" w:cs="宋体"/>
                <w:spacing w:val="4"/>
                <w:position w:val="11"/>
                <w:sz w:val="21"/>
                <w:szCs w:val="21"/>
              </w:rPr>
              <w:t>读懂安装图，了解本设备和现场安装条件并准确安装到位</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9"/>
                <w:sz w:val="21"/>
                <w:szCs w:val="21"/>
              </w:rPr>
              <w:t>2</w:t>
            </w:r>
            <w:r>
              <w:rPr>
                <w:rFonts w:hint="eastAsia" w:ascii="宋体" w:hAnsi="宋体" w:eastAsia="宋体" w:cs="宋体"/>
                <w:spacing w:val="5"/>
                <w:sz w:val="21"/>
                <w:szCs w:val="21"/>
              </w:rPr>
              <w:t>.具有运用安装工具器材的知识和能力，了解起重点的位置</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8"/>
                <w:sz w:val="21"/>
                <w:szCs w:val="21"/>
              </w:rPr>
              <w:t>3．熟悉</w:t>
            </w:r>
            <w:r>
              <w:rPr>
                <w:rFonts w:hint="eastAsia" w:ascii="宋体" w:hAnsi="宋体" w:eastAsia="宋体" w:cs="宋体"/>
                <w:spacing w:val="6"/>
                <w:sz w:val="21"/>
                <w:szCs w:val="21"/>
              </w:rPr>
              <w:t>各</w:t>
            </w:r>
            <w:r>
              <w:rPr>
                <w:rFonts w:hint="eastAsia" w:ascii="宋体" w:hAnsi="宋体" w:eastAsia="宋体" w:cs="宋体"/>
                <w:spacing w:val="4"/>
                <w:sz w:val="21"/>
                <w:szCs w:val="21"/>
              </w:rPr>
              <w:t>安装部件的作用原理、按先后次序进行安装</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4"/>
                <w:sz w:val="21"/>
                <w:szCs w:val="21"/>
              </w:rPr>
              <w:t>4.校正安装平整度和尺寸偏差</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5</w:t>
            </w:r>
            <w:r>
              <w:rPr>
                <w:rFonts w:hint="eastAsia" w:ascii="宋体" w:hAnsi="宋体" w:eastAsia="宋体" w:cs="宋体"/>
                <w:spacing w:val="7"/>
                <w:sz w:val="21"/>
                <w:szCs w:val="21"/>
              </w:rPr>
              <w:t>.</w:t>
            </w:r>
            <w:r>
              <w:rPr>
                <w:rFonts w:hint="eastAsia" w:ascii="宋体" w:hAnsi="宋体" w:eastAsia="宋体" w:cs="宋体"/>
                <w:spacing w:val="5"/>
                <w:sz w:val="21"/>
                <w:szCs w:val="21"/>
              </w:rPr>
              <w:t>了解力学、热工等基础知识，具有油、水、汽等机械施工能力</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963"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1"/>
                <w:sz w:val="21"/>
                <w:szCs w:val="21"/>
              </w:rPr>
              <w:t>设备电气安装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3"/>
                <w:sz w:val="21"/>
                <w:szCs w:val="21"/>
              </w:rPr>
              <w:t>能够看懂电气原理图，熟悉电气连接内容</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18"/>
                <w:sz w:val="21"/>
                <w:szCs w:val="21"/>
              </w:rPr>
              <w:t>2.</w:t>
            </w:r>
            <w:r>
              <w:rPr>
                <w:rFonts w:hint="eastAsia" w:ascii="宋体" w:hAnsi="宋体" w:eastAsia="宋体" w:cs="宋体"/>
                <w:spacing w:val="11"/>
                <w:sz w:val="21"/>
                <w:szCs w:val="21"/>
              </w:rPr>
              <w:t>具</w:t>
            </w:r>
            <w:r>
              <w:rPr>
                <w:rFonts w:hint="eastAsia" w:ascii="宋体" w:hAnsi="宋体" w:eastAsia="宋体" w:cs="宋体"/>
                <w:spacing w:val="9"/>
                <w:sz w:val="21"/>
                <w:szCs w:val="21"/>
              </w:rPr>
              <w:t>备电工基础操作能力(线材、元器件选择及安装、工具选用)</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1"/>
                <w:sz w:val="21"/>
                <w:szCs w:val="21"/>
              </w:rPr>
              <w:t xml:space="preserve">3.熟练掌握 </w:t>
            </w:r>
            <w:r>
              <w:rPr>
                <w:rFonts w:hint="eastAsia" w:ascii="宋体" w:hAnsi="宋体" w:eastAsia="宋体" w:cs="宋体"/>
                <w:sz w:val="21"/>
                <w:szCs w:val="21"/>
              </w:rPr>
              <w:t>PLC</w:t>
            </w:r>
            <w:r>
              <w:rPr>
                <w:rFonts w:hint="eastAsia" w:ascii="宋体" w:hAnsi="宋体" w:eastAsia="宋体" w:cs="宋体"/>
                <w:spacing w:val="1"/>
                <w:sz w:val="21"/>
                <w:szCs w:val="21"/>
              </w:rPr>
              <w:t>、数控系统总线等信号特点并能正确按</w:t>
            </w:r>
            <w:r>
              <w:rPr>
                <w:rFonts w:hint="eastAsia" w:ascii="宋体" w:hAnsi="宋体" w:eastAsia="宋体" w:cs="宋体"/>
                <w:sz w:val="21"/>
                <w:szCs w:val="21"/>
              </w:rPr>
              <w:t>照线号表接线</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982"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4"/>
              <w:textAlignment w:val="auto"/>
              <w:rPr>
                <w:rFonts w:hint="eastAsia" w:ascii="宋体" w:hAnsi="宋体" w:eastAsia="宋体" w:cs="宋体"/>
                <w:sz w:val="21"/>
                <w:szCs w:val="21"/>
              </w:rPr>
            </w:pPr>
            <w:r>
              <w:rPr>
                <w:rFonts w:hint="eastAsia" w:ascii="宋体" w:hAnsi="宋体" w:eastAsia="宋体" w:cs="宋体"/>
                <w:spacing w:val="1"/>
                <w:sz w:val="21"/>
                <w:szCs w:val="21"/>
              </w:rPr>
              <w:t>3.其他装置</w:t>
            </w:r>
            <w:r>
              <w:rPr>
                <w:rFonts w:hint="eastAsia" w:ascii="宋体" w:hAnsi="宋体" w:eastAsia="宋体" w:cs="宋体"/>
                <w:sz w:val="21"/>
                <w:szCs w:val="21"/>
              </w:rPr>
              <w:t>安装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2"/>
                <w:sz w:val="21"/>
                <w:szCs w:val="21"/>
              </w:rPr>
              <w:t>1.能看懂设备液压、气动原理图、安全防护装置</w:t>
            </w:r>
            <w:r>
              <w:rPr>
                <w:rFonts w:hint="eastAsia" w:ascii="宋体" w:hAnsi="宋体" w:eastAsia="宋体" w:cs="宋体"/>
                <w:spacing w:val="1"/>
                <w:sz w:val="21"/>
                <w:szCs w:val="21"/>
              </w:rPr>
              <w:t>等辅助装置图；</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9"/>
                <w:sz w:val="21"/>
                <w:szCs w:val="21"/>
              </w:rPr>
              <w:t>2</w:t>
            </w:r>
            <w:r>
              <w:rPr>
                <w:rFonts w:hint="eastAsia" w:ascii="宋体" w:hAnsi="宋体" w:eastAsia="宋体" w:cs="宋体"/>
                <w:spacing w:val="5"/>
                <w:sz w:val="21"/>
                <w:szCs w:val="21"/>
              </w:rPr>
              <w:t>.能按照设备辅助安装图安装连接液压、气动、电气等接口</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3</w:t>
            </w:r>
            <w:r>
              <w:rPr>
                <w:rFonts w:hint="eastAsia" w:ascii="宋体" w:hAnsi="宋体" w:eastAsia="宋体" w:cs="宋体"/>
                <w:spacing w:val="9"/>
                <w:sz w:val="21"/>
                <w:szCs w:val="21"/>
              </w:rPr>
              <w:t>.</w:t>
            </w:r>
            <w:r>
              <w:rPr>
                <w:rFonts w:hint="eastAsia" w:ascii="宋体" w:hAnsi="宋体" w:eastAsia="宋体" w:cs="宋体"/>
                <w:spacing w:val="5"/>
                <w:sz w:val="21"/>
                <w:szCs w:val="21"/>
              </w:rPr>
              <w:t>能正确安装设备安全防护装置、测量装置、润滑冷却装置等辅助装置</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892"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4"/>
                <w:position w:val="11"/>
                <w:sz w:val="21"/>
                <w:szCs w:val="21"/>
              </w:rPr>
              <w:t>机电设备</w:t>
            </w:r>
          </w:p>
          <w:p>
            <w:pPr>
              <w:keepNext w:val="0"/>
              <w:keepLines w:val="0"/>
              <w:pageBreakBefore w:val="0"/>
              <w:kinsoku/>
              <w:wordWrap/>
              <w:overflowPunct/>
              <w:topLinePunct w:val="0"/>
              <w:autoSpaceDE/>
              <w:autoSpaceDN/>
              <w:bidi w:val="0"/>
              <w:adjustRightInd w:val="0"/>
              <w:snapToGrid w:val="0"/>
              <w:spacing w:line="240" w:lineRule="auto"/>
              <w:ind w:left="1"/>
              <w:textAlignment w:val="auto"/>
              <w:rPr>
                <w:rFonts w:hint="eastAsia" w:ascii="宋体" w:hAnsi="宋体" w:eastAsia="宋体" w:cs="宋体"/>
                <w:sz w:val="21"/>
                <w:szCs w:val="21"/>
              </w:rPr>
            </w:pPr>
            <w:r>
              <w:rPr>
                <w:rFonts w:hint="eastAsia" w:ascii="宋体" w:hAnsi="宋体" w:eastAsia="宋体" w:cs="宋体"/>
                <w:spacing w:val="5"/>
                <w:sz w:val="21"/>
                <w:szCs w:val="21"/>
              </w:rPr>
              <w:t>运</w:t>
            </w:r>
            <w:r>
              <w:rPr>
                <w:rFonts w:hint="eastAsia" w:ascii="宋体" w:hAnsi="宋体" w:eastAsia="宋体" w:cs="宋体"/>
                <w:spacing w:val="3"/>
                <w:sz w:val="21"/>
                <w:szCs w:val="21"/>
              </w:rPr>
              <w:t>行调试</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25" w:leftChars="0"/>
              <w:jc w:val="both"/>
              <w:textAlignment w:val="auto"/>
              <w:rPr>
                <w:rFonts w:hint="eastAsia" w:ascii="宋体" w:hAnsi="宋体" w:eastAsia="宋体" w:cs="宋体"/>
                <w:kern w:val="0"/>
                <w:sz w:val="21"/>
                <w:szCs w:val="21"/>
                <w:lang w:eastAsia="zh-CN"/>
              </w:rPr>
            </w:pPr>
            <w:r>
              <w:rPr>
                <w:rFonts w:hint="eastAsia" w:ascii="宋体" w:hAnsi="宋体" w:eastAsia="宋体" w:cs="宋体"/>
                <w:spacing w:val="-1"/>
                <w:sz w:val="21"/>
                <w:szCs w:val="21"/>
              </w:rPr>
              <w:t>1.</w:t>
            </w:r>
            <w:r>
              <w:rPr>
                <w:rFonts w:hint="eastAsia" w:ascii="宋体" w:hAnsi="宋体" w:eastAsia="宋体" w:cs="宋体"/>
                <w:sz w:val="21"/>
                <w:szCs w:val="21"/>
              </w:rPr>
              <w:t>设备机械调试运行</w:t>
            </w: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4"/>
                <w:sz w:val="21"/>
                <w:szCs w:val="21"/>
              </w:rPr>
              <w:t>1.检查设备外观是否有损伤，拆除固定物并清理现</w:t>
            </w:r>
            <w:r>
              <w:rPr>
                <w:rFonts w:hint="eastAsia" w:ascii="宋体" w:hAnsi="宋体" w:eastAsia="宋体" w:cs="宋体"/>
                <w:spacing w:val="1"/>
                <w:sz w:val="21"/>
                <w:szCs w:val="21"/>
              </w:rPr>
              <w:t>场</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8"/>
                <w:position w:val="11"/>
                <w:sz w:val="21"/>
                <w:szCs w:val="21"/>
              </w:rPr>
              <w:t>2. 上</w:t>
            </w:r>
            <w:r>
              <w:rPr>
                <w:rFonts w:hint="eastAsia" w:ascii="宋体" w:hAnsi="宋体" w:eastAsia="宋体" w:cs="宋体"/>
                <w:spacing w:val="4"/>
                <w:position w:val="11"/>
                <w:sz w:val="21"/>
                <w:szCs w:val="21"/>
              </w:rPr>
              <w:t>电前检查设备进线的外部电压、电气容量、接地等是否符合要求</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4"/>
                <w:sz w:val="21"/>
                <w:szCs w:val="21"/>
              </w:rPr>
              <w:t>.根据设备要求，具有相应的调校能力</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1342"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3"/>
                <w:sz w:val="21"/>
                <w:szCs w:val="21"/>
              </w:rPr>
              <w:t>.</w:t>
            </w:r>
            <w:r>
              <w:rPr>
                <w:rFonts w:hint="eastAsia" w:ascii="宋体" w:hAnsi="宋体" w:eastAsia="宋体" w:cs="宋体"/>
                <w:spacing w:val="2"/>
                <w:sz w:val="21"/>
                <w:szCs w:val="21"/>
              </w:rPr>
              <w:t>设备电气调试运行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3"/>
                <w:sz w:val="21"/>
                <w:szCs w:val="21"/>
              </w:rPr>
              <w:t>.读懂电气原理图，掌握图、物对应关系</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4"/>
                <w:sz w:val="21"/>
                <w:szCs w:val="21"/>
              </w:rPr>
              <w:t>2.检查设备每个部件是否动作正常</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8"/>
                <w:sz w:val="21"/>
                <w:szCs w:val="21"/>
              </w:rPr>
              <w:t>3.读懂</w:t>
            </w:r>
            <w:r>
              <w:rPr>
                <w:rFonts w:hint="eastAsia" w:ascii="宋体" w:hAnsi="宋体" w:eastAsia="宋体" w:cs="宋体"/>
                <w:spacing w:val="4"/>
                <w:sz w:val="21"/>
                <w:szCs w:val="21"/>
              </w:rPr>
              <w:t>英文图纸和资料，具有一定的英语阅读能力</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2"/>
                <w:position w:val="11"/>
                <w:sz w:val="21"/>
                <w:szCs w:val="21"/>
              </w:rPr>
              <w:t xml:space="preserve">4.熟悉 </w:t>
            </w:r>
            <w:r>
              <w:rPr>
                <w:rFonts w:hint="eastAsia" w:ascii="宋体" w:hAnsi="宋体" w:eastAsia="宋体" w:cs="宋体"/>
                <w:position w:val="11"/>
                <w:sz w:val="21"/>
                <w:szCs w:val="21"/>
              </w:rPr>
              <w:t>PLC</w:t>
            </w:r>
            <w:r>
              <w:rPr>
                <w:rFonts w:hint="eastAsia" w:ascii="宋体" w:hAnsi="宋体" w:eastAsia="宋体" w:cs="宋体"/>
                <w:spacing w:val="2"/>
                <w:position w:val="11"/>
                <w:sz w:val="21"/>
                <w:szCs w:val="21"/>
              </w:rPr>
              <w:t xml:space="preserve"> 原理</w:t>
            </w:r>
            <w:r>
              <w:rPr>
                <w:rFonts w:hint="eastAsia" w:ascii="宋体" w:hAnsi="宋体" w:eastAsia="宋体" w:cs="宋体"/>
                <w:spacing w:val="1"/>
                <w:position w:val="11"/>
                <w:sz w:val="21"/>
                <w:szCs w:val="21"/>
              </w:rPr>
              <w:t>、自动控制原理等，读懂一般程序逻辑图和识别码</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4"/>
                <w:sz w:val="21"/>
                <w:szCs w:val="21"/>
              </w:rPr>
              <w:t>.</w:t>
            </w:r>
            <w:r>
              <w:rPr>
                <w:rFonts w:hint="eastAsia" w:ascii="宋体" w:hAnsi="宋体" w:eastAsia="宋体" w:cs="宋体"/>
                <w:spacing w:val="3"/>
                <w:sz w:val="21"/>
                <w:szCs w:val="21"/>
              </w:rPr>
              <w:t>具有本设备电气应用能力</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8"/>
                <w:sz w:val="21"/>
                <w:szCs w:val="21"/>
              </w:rPr>
              <w:t>6.熟</w:t>
            </w:r>
            <w:r>
              <w:rPr>
                <w:rFonts w:hint="eastAsia" w:ascii="宋体" w:hAnsi="宋体" w:eastAsia="宋体" w:cs="宋体"/>
                <w:spacing w:val="5"/>
                <w:sz w:val="21"/>
                <w:szCs w:val="21"/>
              </w:rPr>
              <w:t>悉</w:t>
            </w:r>
            <w:r>
              <w:rPr>
                <w:rFonts w:hint="eastAsia" w:ascii="宋体" w:hAnsi="宋体" w:eastAsia="宋体" w:cs="宋体"/>
                <w:spacing w:val="4"/>
                <w:sz w:val="21"/>
                <w:szCs w:val="21"/>
              </w:rPr>
              <w:t>现场电磁、辐射等对本设备的影响程度</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984"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4"/>
              <w:textAlignment w:val="auto"/>
              <w:rPr>
                <w:rFonts w:hint="eastAsia" w:ascii="宋体" w:hAnsi="宋体" w:eastAsia="宋体" w:cs="宋体"/>
                <w:sz w:val="21"/>
                <w:szCs w:val="21"/>
              </w:rPr>
            </w:pPr>
            <w:r>
              <w:rPr>
                <w:rFonts w:hint="eastAsia" w:ascii="宋体" w:hAnsi="宋体" w:eastAsia="宋体" w:cs="宋体"/>
                <w:spacing w:val="1"/>
                <w:sz w:val="21"/>
                <w:szCs w:val="21"/>
              </w:rPr>
              <w:t>3.其他装置</w:t>
            </w:r>
            <w:r>
              <w:rPr>
                <w:rFonts w:hint="eastAsia" w:ascii="宋体" w:hAnsi="宋体" w:eastAsia="宋体" w:cs="宋体"/>
                <w:sz w:val="21"/>
                <w:szCs w:val="21"/>
              </w:rPr>
              <w:t>运行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3"/>
                <w:sz w:val="21"/>
                <w:szCs w:val="21"/>
              </w:rPr>
              <w:t>能按照液压原理图调试液压元件动作正常</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spacing w:val="7"/>
                <w:sz w:val="21"/>
                <w:szCs w:val="21"/>
              </w:rPr>
              <w:t>能</w:t>
            </w:r>
            <w:r>
              <w:rPr>
                <w:rFonts w:hint="eastAsia" w:ascii="宋体" w:hAnsi="宋体" w:eastAsia="宋体" w:cs="宋体"/>
                <w:spacing w:val="4"/>
                <w:sz w:val="21"/>
                <w:szCs w:val="21"/>
              </w:rPr>
              <w:t>按照气动原理图调试气动元件运行正常</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8"/>
                <w:sz w:val="21"/>
                <w:szCs w:val="21"/>
              </w:rPr>
              <w:t>3.能调</w:t>
            </w:r>
            <w:r>
              <w:rPr>
                <w:rFonts w:hint="eastAsia" w:ascii="宋体" w:hAnsi="宋体" w:eastAsia="宋体" w:cs="宋体"/>
                <w:spacing w:val="4"/>
                <w:sz w:val="21"/>
                <w:szCs w:val="21"/>
              </w:rPr>
              <w:t>试运行设备的防护、检测、润滑等辅助装置</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1024"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4"/>
                <w:position w:val="11"/>
                <w:sz w:val="21"/>
                <w:szCs w:val="21"/>
              </w:rPr>
              <w:t>机电设备</w:t>
            </w:r>
          </w:p>
          <w:p>
            <w:pPr>
              <w:keepNext w:val="0"/>
              <w:keepLines w:val="0"/>
              <w:pageBreakBefore w:val="0"/>
              <w:kinsoku/>
              <w:wordWrap/>
              <w:overflowPunct/>
              <w:topLinePunct w:val="0"/>
              <w:autoSpaceDE/>
              <w:autoSpaceDN/>
              <w:bidi w:val="0"/>
              <w:adjustRightInd w:val="0"/>
              <w:snapToGrid w:val="0"/>
              <w:spacing w:line="240" w:lineRule="auto"/>
              <w:ind w:left="6"/>
              <w:textAlignment w:val="auto"/>
              <w:rPr>
                <w:rFonts w:hint="eastAsia" w:ascii="宋体" w:hAnsi="宋体" w:eastAsia="宋体" w:cs="宋体"/>
                <w:sz w:val="21"/>
                <w:szCs w:val="21"/>
              </w:rPr>
            </w:pPr>
            <w:r>
              <w:rPr>
                <w:rFonts w:hint="eastAsia" w:ascii="宋体" w:hAnsi="宋体" w:eastAsia="宋体" w:cs="宋体"/>
                <w:spacing w:val="3"/>
                <w:sz w:val="21"/>
                <w:szCs w:val="21"/>
              </w:rPr>
              <w:t>维</w:t>
            </w:r>
            <w:r>
              <w:rPr>
                <w:rFonts w:hint="eastAsia" w:ascii="宋体" w:hAnsi="宋体" w:eastAsia="宋体" w:cs="宋体"/>
                <w:spacing w:val="2"/>
                <w:sz w:val="21"/>
                <w:szCs w:val="21"/>
              </w:rPr>
              <w:t>护维修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5"/>
              <w:textAlignment w:val="auto"/>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设备机械维护维修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2"/>
                <w:sz w:val="21"/>
                <w:szCs w:val="21"/>
              </w:rPr>
              <w:t>.具有故障处理和事故分析能力</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5"/>
                <w:sz w:val="21"/>
                <w:szCs w:val="21"/>
              </w:rPr>
              <w:t>2.熟悉设备的维护保养周期及对本设备运行的影</w:t>
            </w:r>
            <w:r>
              <w:rPr>
                <w:rFonts w:hint="eastAsia" w:ascii="宋体" w:hAnsi="宋体" w:eastAsia="宋体" w:cs="宋体"/>
                <w:spacing w:val="2"/>
                <w:sz w:val="21"/>
                <w:szCs w:val="21"/>
              </w:rPr>
              <w:t>响</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7"/>
                <w:sz w:val="21"/>
                <w:szCs w:val="21"/>
              </w:rPr>
              <w:t>.</w:t>
            </w:r>
            <w:r>
              <w:rPr>
                <w:rFonts w:hint="eastAsia" w:ascii="宋体" w:hAnsi="宋体" w:eastAsia="宋体" w:cs="宋体"/>
                <w:spacing w:val="4"/>
                <w:sz w:val="21"/>
                <w:szCs w:val="21"/>
              </w:rPr>
              <w:t>具有专业维护维修技能或相应的资质授权</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4"/>
                <w:sz w:val="21"/>
                <w:szCs w:val="21"/>
              </w:rPr>
              <w:t>4.能够熟练运用维修专用工具</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1256"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3"/>
                <w:sz w:val="21"/>
                <w:szCs w:val="21"/>
              </w:rPr>
              <w:t>.</w:t>
            </w:r>
            <w:r>
              <w:rPr>
                <w:rFonts w:hint="eastAsia" w:ascii="宋体" w:hAnsi="宋体" w:eastAsia="宋体" w:cs="宋体"/>
                <w:spacing w:val="2"/>
                <w:sz w:val="21"/>
                <w:szCs w:val="21"/>
              </w:rPr>
              <w:t>设备电气维护维修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1.能够读懂设备电气控制原理图，并能通过PLC、数控系统等上位机找到故障节点</w:t>
            </w:r>
          </w:p>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rPr>
              <w:t xml:space="preserve">能够分析电气故障原因并解决问题              </w:t>
            </w:r>
          </w:p>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3.具备电气自动化常用知识能力                  </w:t>
            </w:r>
          </w:p>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rPr>
              <w:t xml:space="preserve">4.能够熟练运用电气维修专用工具 </w:t>
            </w:r>
          </w:p>
        </w:tc>
      </w:tr>
      <w:tr>
        <w:tblPrEx>
          <w:tblCellMar>
            <w:top w:w="0" w:type="dxa"/>
            <w:left w:w="108" w:type="dxa"/>
            <w:bottom w:w="0" w:type="dxa"/>
            <w:right w:w="108" w:type="dxa"/>
          </w:tblCellMar>
        </w:tblPrEx>
        <w:trPr>
          <w:trHeight w:val="532" w:hRule="atLeast"/>
          <w:jc w:val="center"/>
        </w:trPr>
        <w:tc>
          <w:tcPr>
            <w:tcW w:w="1650" w:type="dxa"/>
            <w:vMerge w:val="continue"/>
            <w:tcBorders>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0"/>
              <w:textAlignment w:val="auto"/>
              <w:rPr>
                <w:rFonts w:hint="eastAsia" w:ascii="宋体" w:hAnsi="宋体" w:eastAsia="宋体" w:cs="宋体"/>
                <w:sz w:val="21"/>
                <w:szCs w:val="21"/>
              </w:rPr>
            </w:pPr>
            <w:r>
              <w:rPr>
                <w:rFonts w:hint="eastAsia" w:ascii="宋体" w:hAnsi="宋体" w:eastAsia="宋体" w:cs="宋体"/>
                <w:spacing w:val="2"/>
                <w:sz w:val="21"/>
                <w:szCs w:val="21"/>
              </w:rPr>
              <w:t>3.其他装置维护维</w:t>
            </w:r>
            <w:r>
              <w:rPr>
                <w:rFonts w:hint="eastAsia" w:ascii="宋体" w:hAnsi="宋体" w:eastAsia="宋体" w:cs="宋体"/>
                <w:spacing w:val="1"/>
                <w:sz w:val="21"/>
                <w:szCs w:val="21"/>
              </w:rPr>
              <w:t>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1.根据设备故障分析设备液压、气动等装置的故障点</w:t>
            </w:r>
          </w:p>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rPr>
              <w:t>2.能排除故障，重新调试设备至正常运行</w:t>
            </w:r>
          </w:p>
        </w:tc>
      </w:tr>
      <w:tr>
        <w:tblPrEx>
          <w:tblCellMar>
            <w:top w:w="0" w:type="dxa"/>
            <w:left w:w="108" w:type="dxa"/>
            <w:bottom w:w="0" w:type="dxa"/>
            <w:right w:w="108" w:type="dxa"/>
          </w:tblCellMar>
        </w:tblPrEx>
        <w:trPr>
          <w:trHeight w:val="655" w:hRule="atLeast"/>
          <w:jc w:val="center"/>
        </w:trPr>
        <w:tc>
          <w:tcPr>
            <w:tcW w:w="1650" w:type="dxa"/>
            <w:vMerge w:val="restart"/>
            <w:tcBorders>
              <w:top w:val="single" w:color="000000" w:sz="4" w:space="0"/>
              <w:left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09"/>
              <w:textAlignment w:val="auto"/>
              <w:rPr>
                <w:rFonts w:hint="eastAsia" w:ascii="宋体" w:hAnsi="宋体" w:eastAsia="宋体" w:cs="宋体"/>
                <w:sz w:val="21"/>
                <w:szCs w:val="21"/>
              </w:rPr>
            </w:pPr>
            <w:r>
              <w:rPr>
                <w:rFonts w:hint="eastAsia" w:ascii="宋体" w:hAnsi="宋体" w:eastAsia="宋体" w:cs="宋体"/>
                <w:spacing w:val="3"/>
                <w:sz w:val="21"/>
                <w:szCs w:val="21"/>
              </w:rPr>
              <w:t>机电技</w:t>
            </w:r>
          </w:p>
          <w:p>
            <w:pPr>
              <w:keepNext w:val="0"/>
              <w:keepLines w:val="0"/>
              <w:pageBreakBefore w:val="0"/>
              <w:kinsoku/>
              <w:wordWrap/>
              <w:overflowPunct/>
              <w:topLinePunct w:val="0"/>
              <w:autoSpaceDE/>
              <w:autoSpaceDN/>
              <w:bidi w:val="0"/>
              <w:adjustRightInd w:val="0"/>
              <w:snapToGrid w:val="0"/>
              <w:spacing w:line="240" w:lineRule="auto"/>
              <w:ind w:left="472"/>
              <w:textAlignment w:val="auto"/>
              <w:rPr>
                <w:rFonts w:hint="eastAsia" w:ascii="宋体" w:hAnsi="宋体" w:eastAsia="宋体" w:cs="宋体"/>
                <w:sz w:val="21"/>
                <w:szCs w:val="21"/>
              </w:rPr>
            </w:pPr>
            <w:r>
              <w:rPr>
                <w:rFonts w:hint="eastAsia" w:ascii="宋体" w:hAnsi="宋体" w:eastAsia="宋体" w:cs="宋体"/>
                <w:spacing w:val="-1"/>
                <w:sz w:val="21"/>
                <w:szCs w:val="21"/>
              </w:rPr>
              <w:t>术</w:t>
            </w:r>
            <w:r>
              <w:rPr>
                <w:rFonts w:hint="eastAsia" w:ascii="宋体" w:hAnsi="宋体" w:eastAsia="宋体" w:cs="宋体"/>
                <w:sz w:val="21"/>
                <w:szCs w:val="21"/>
              </w:rPr>
              <w:t>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right="381"/>
              <w:textAlignment w:val="auto"/>
              <w:rPr>
                <w:rFonts w:hint="eastAsia" w:ascii="宋体" w:hAnsi="宋体" w:eastAsia="宋体" w:cs="宋体"/>
                <w:sz w:val="21"/>
                <w:szCs w:val="21"/>
              </w:rPr>
            </w:pPr>
            <w:r>
              <w:rPr>
                <w:rFonts w:hint="eastAsia" w:ascii="宋体" w:hAnsi="宋体" w:eastAsia="宋体" w:cs="宋体"/>
                <w:spacing w:val="4"/>
                <w:position w:val="11"/>
                <w:sz w:val="21"/>
                <w:szCs w:val="21"/>
              </w:rPr>
              <w:t xml:space="preserve">零部件测 </w:t>
            </w:r>
            <w:r>
              <w:rPr>
                <w:rFonts w:hint="eastAsia" w:ascii="宋体" w:hAnsi="宋体" w:eastAsia="宋体" w:cs="宋体"/>
                <w:sz w:val="21"/>
                <w:szCs w:val="21"/>
              </w:rPr>
              <w:t>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5"/>
              <w:textAlignment w:val="auto"/>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3"/>
                <w:sz w:val="21"/>
                <w:szCs w:val="21"/>
              </w:rPr>
              <w:t>.测量零部件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spacing w:val="-4"/>
                <w:sz w:val="21"/>
                <w:szCs w:val="21"/>
              </w:rPr>
              <w:t>1.能</w:t>
            </w:r>
            <w:r>
              <w:rPr>
                <w:rFonts w:hint="eastAsia" w:ascii="宋体" w:hAnsi="宋体" w:eastAsia="宋体" w:cs="宋体"/>
                <w:spacing w:val="-2"/>
                <w:sz w:val="21"/>
                <w:szCs w:val="21"/>
              </w:rPr>
              <w:t>正确选用和使用量具、检具；</w:t>
            </w:r>
            <w:r>
              <w:rPr>
                <w:rFonts w:hint="eastAsia" w:ascii="宋体" w:hAnsi="宋体" w:eastAsia="宋体" w:cs="宋体"/>
                <w:sz w:val="21"/>
                <w:szCs w:val="21"/>
              </w:rPr>
              <w:t xml:space="preserve">                                                    </w:t>
            </w:r>
            <w:r>
              <w:rPr>
                <w:rFonts w:hint="eastAsia" w:ascii="宋体" w:hAnsi="宋体" w:eastAsia="宋体" w:cs="宋体"/>
                <w:spacing w:val="12"/>
                <w:sz w:val="21"/>
                <w:szCs w:val="21"/>
              </w:rPr>
              <w:t>2</w:t>
            </w:r>
            <w:r>
              <w:rPr>
                <w:rFonts w:hint="eastAsia" w:ascii="宋体" w:hAnsi="宋体" w:eastAsia="宋体" w:cs="宋体"/>
                <w:spacing w:val="7"/>
                <w:sz w:val="21"/>
                <w:szCs w:val="21"/>
              </w:rPr>
              <w:t>.能对零件进行一定的分析和判断(如结构形式、材料、热处理等)，并正确记录测量结果。</w:t>
            </w:r>
          </w:p>
        </w:tc>
      </w:tr>
      <w:tr>
        <w:tblPrEx>
          <w:tblCellMar>
            <w:top w:w="0" w:type="dxa"/>
            <w:left w:w="108" w:type="dxa"/>
            <w:bottom w:w="0" w:type="dxa"/>
            <w:right w:w="108" w:type="dxa"/>
          </w:tblCellMar>
        </w:tblPrEx>
        <w:trPr>
          <w:trHeight w:val="784"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1"/>
                <w:sz w:val="21"/>
                <w:szCs w:val="21"/>
              </w:rPr>
              <w:t>2.绘</w:t>
            </w:r>
            <w:r>
              <w:rPr>
                <w:rFonts w:hint="eastAsia" w:ascii="宋体" w:hAnsi="宋体" w:eastAsia="宋体" w:cs="宋体"/>
                <w:sz w:val="21"/>
                <w:szCs w:val="21"/>
              </w:rPr>
              <w:t>制零部件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5" w:right="703" w:firstLine="25"/>
              <w:jc w:val="left"/>
              <w:textAlignment w:val="auto"/>
              <w:rPr>
                <w:rFonts w:hint="eastAsia" w:ascii="宋体" w:hAnsi="宋体" w:eastAsia="宋体" w:cs="宋体"/>
                <w:sz w:val="21"/>
                <w:szCs w:val="21"/>
              </w:rPr>
            </w:pPr>
            <w:r>
              <w:rPr>
                <w:rFonts w:hint="eastAsia" w:ascii="宋体" w:hAnsi="宋体" w:eastAsia="宋体" w:cs="宋体"/>
                <w:spacing w:val="-4"/>
                <w:sz w:val="21"/>
                <w:szCs w:val="21"/>
              </w:rPr>
              <w:t>1.掌握工程制图标准；</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5"/>
                <w:position w:val="11"/>
                <w:sz w:val="21"/>
                <w:szCs w:val="21"/>
              </w:rPr>
              <w:t>2</w:t>
            </w:r>
            <w:r>
              <w:rPr>
                <w:rFonts w:hint="eastAsia" w:ascii="宋体" w:hAnsi="宋体" w:eastAsia="宋体" w:cs="宋体"/>
                <w:spacing w:val="-3"/>
                <w:position w:val="11"/>
                <w:sz w:val="21"/>
                <w:szCs w:val="21"/>
              </w:rPr>
              <w:t>.能熟练进行手工绘图；</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1"/>
                <w:sz w:val="21"/>
                <w:szCs w:val="21"/>
              </w:rPr>
              <w:t>3.熟练使用计算机辅助设计软件；</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spacing w:val="-1"/>
                <w:sz w:val="21"/>
                <w:szCs w:val="21"/>
              </w:rPr>
              <w:t>4.能正确</w:t>
            </w:r>
            <w:r>
              <w:rPr>
                <w:rFonts w:hint="eastAsia" w:ascii="宋体" w:hAnsi="宋体" w:eastAsia="宋体" w:cs="宋体"/>
                <w:sz w:val="21"/>
                <w:szCs w:val="21"/>
              </w:rPr>
              <w:t>绘制出工程图。</w:t>
            </w:r>
          </w:p>
        </w:tc>
      </w:tr>
      <w:tr>
        <w:tblPrEx>
          <w:tblCellMar>
            <w:top w:w="0" w:type="dxa"/>
            <w:left w:w="108" w:type="dxa"/>
            <w:bottom w:w="0" w:type="dxa"/>
            <w:right w:w="108" w:type="dxa"/>
          </w:tblCellMar>
        </w:tblPrEx>
        <w:trPr>
          <w:trHeight w:val="477"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4"/>
              <w:textAlignment w:val="auto"/>
              <w:rPr>
                <w:rFonts w:hint="eastAsia" w:ascii="宋体" w:hAnsi="宋体" w:eastAsia="宋体" w:cs="宋体"/>
                <w:sz w:val="21"/>
                <w:szCs w:val="21"/>
              </w:rPr>
            </w:pPr>
            <w:r>
              <w:rPr>
                <w:rFonts w:hint="eastAsia" w:ascii="宋体" w:hAnsi="宋体" w:eastAsia="宋体" w:cs="宋体"/>
                <w:spacing w:val="-2"/>
                <w:sz w:val="21"/>
                <w:szCs w:val="21"/>
              </w:rPr>
              <w:t>3.</w:t>
            </w:r>
            <w:r>
              <w:rPr>
                <w:rFonts w:hint="eastAsia" w:ascii="宋体" w:hAnsi="宋体" w:eastAsia="宋体" w:cs="宋体"/>
                <w:spacing w:val="-1"/>
                <w:sz w:val="21"/>
                <w:szCs w:val="21"/>
              </w:rPr>
              <w:t>校对图纸</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kern w:val="0"/>
                <w:sz w:val="21"/>
                <w:szCs w:val="21"/>
                <w:lang w:eastAsia="zh-CN"/>
              </w:rPr>
            </w:pPr>
            <w:r>
              <w:rPr>
                <w:rFonts w:hint="eastAsia" w:ascii="宋体" w:hAnsi="宋体" w:eastAsia="宋体" w:cs="宋体"/>
                <w:spacing w:val="-1"/>
                <w:sz w:val="21"/>
                <w:szCs w:val="21"/>
              </w:rPr>
              <w:t>1.能</w:t>
            </w:r>
            <w:r>
              <w:rPr>
                <w:rFonts w:hint="eastAsia" w:ascii="宋体" w:hAnsi="宋体" w:eastAsia="宋体" w:cs="宋体"/>
                <w:sz w:val="21"/>
                <w:szCs w:val="21"/>
              </w:rPr>
              <w:t>保证工程图的完整性与准确性。</w:t>
            </w:r>
          </w:p>
        </w:tc>
      </w:tr>
      <w:tr>
        <w:tblPrEx>
          <w:tblCellMar>
            <w:top w:w="0" w:type="dxa"/>
            <w:left w:w="108" w:type="dxa"/>
            <w:bottom w:w="0" w:type="dxa"/>
            <w:right w:w="108" w:type="dxa"/>
          </w:tblCellMar>
        </w:tblPrEx>
        <w:trPr>
          <w:trHeight w:val="2121"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5"/>
                <w:sz w:val="21"/>
                <w:szCs w:val="21"/>
              </w:rPr>
              <w:t>产</w:t>
            </w:r>
            <w:r>
              <w:rPr>
                <w:rFonts w:hint="eastAsia" w:ascii="宋体" w:hAnsi="宋体" w:eastAsia="宋体" w:cs="宋体"/>
                <w:spacing w:val="3"/>
                <w:sz w:val="21"/>
                <w:szCs w:val="21"/>
              </w:rPr>
              <w:t>品设计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5"/>
              <w:textAlignment w:val="auto"/>
              <w:rPr>
                <w:rFonts w:hint="eastAsia" w:ascii="宋体" w:hAnsi="宋体" w:eastAsia="宋体" w:cs="宋体"/>
                <w:sz w:val="21"/>
                <w:szCs w:val="21"/>
              </w:rPr>
            </w:pPr>
            <w:r>
              <w:rPr>
                <w:rFonts w:hint="eastAsia" w:ascii="宋体" w:hAnsi="宋体" w:eastAsia="宋体" w:cs="宋体"/>
                <w:spacing w:val="-5"/>
                <w:sz w:val="21"/>
                <w:szCs w:val="21"/>
              </w:rPr>
              <w:t>1.机械设</w:t>
            </w:r>
            <w:r>
              <w:rPr>
                <w:rFonts w:hint="eastAsia" w:ascii="宋体" w:hAnsi="宋体" w:eastAsia="宋体" w:cs="宋体"/>
                <w:spacing w:val="-4"/>
                <w:sz w:val="21"/>
                <w:szCs w:val="21"/>
              </w:rPr>
              <w:t>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sz w:val="21"/>
                <w:szCs w:val="21"/>
              </w:rPr>
            </w:pPr>
            <w:r>
              <w:rPr>
                <w:rFonts w:hint="eastAsia" w:ascii="宋体" w:hAnsi="宋体" w:eastAsia="宋体" w:cs="宋体"/>
                <w:spacing w:val="1"/>
                <w:position w:val="12"/>
                <w:sz w:val="21"/>
                <w:szCs w:val="21"/>
              </w:rPr>
              <w:t>1.掌握材料力学、金属材料学、机械零件等基础知识</w:t>
            </w:r>
            <w:r>
              <w:rPr>
                <w:rFonts w:hint="eastAsia" w:ascii="宋体" w:hAnsi="宋体" w:eastAsia="宋体" w:cs="宋体"/>
                <w:position w:val="12"/>
                <w:sz w:val="21"/>
                <w:szCs w:val="21"/>
              </w:rPr>
              <w:t>；</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4"/>
                <w:sz w:val="21"/>
                <w:szCs w:val="21"/>
              </w:rPr>
              <w:t>2.了解</w:t>
            </w:r>
            <w:r>
              <w:rPr>
                <w:rFonts w:hint="eastAsia" w:ascii="宋体" w:hAnsi="宋体" w:eastAsia="宋体" w:cs="宋体"/>
                <w:spacing w:val="3"/>
                <w:sz w:val="21"/>
                <w:szCs w:val="21"/>
              </w:rPr>
              <w:t>机</w:t>
            </w:r>
            <w:r>
              <w:rPr>
                <w:rFonts w:hint="eastAsia" w:ascii="宋体" w:hAnsi="宋体" w:eastAsia="宋体" w:cs="宋体"/>
                <w:spacing w:val="2"/>
                <w:sz w:val="21"/>
                <w:szCs w:val="21"/>
              </w:rPr>
              <w:t>械加工、装配工艺要求，保证设计产品的工艺性；</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1"/>
                <w:sz w:val="21"/>
                <w:szCs w:val="21"/>
              </w:rPr>
              <w:t>3.熟练使用计算机辅助设计软件；</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2"/>
                <w:sz w:val="21"/>
                <w:szCs w:val="21"/>
              </w:rPr>
              <w:t>4.具有工程制图能力，能绘制出符合标准的工程图；</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1"/>
                <w:sz w:val="21"/>
                <w:szCs w:val="21"/>
              </w:rPr>
              <w:t>5.熟练使用各种</w:t>
            </w:r>
            <w:r>
              <w:rPr>
                <w:rFonts w:hint="eastAsia" w:ascii="宋体" w:hAnsi="宋体" w:eastAsia="宋体" w:cs="宋体"/>
                <w:sz w:val="21"/>
                <w:szCs w:val="21"/>
              </w:rPr>
              <w:t>工具、手册和设计资料；</w:t>
            </w:r>
          </w:p>
          <w:p>
            <w:pPr>
              <w:keepNext w:val="0"/>
              <w:keepLines w:val="0"/>
              <w:pageBreakBefore w:val="0"/>
              <w:kinsoku/>
              <w:wordWrap/>
              <w:overflowPunct/>
              <w:topLinePunct w:val="0"/>
              <w:autoSpaceDE/>
              <w:autoSpaceDN/>
              <w:bidi w:val="0"/>
              <w:adjustRightInd w:val="0"/>
              <w:snapToGrid w:val="0"/>
              <w:spacing w:line="240" w:lineRule="auto"/>
              <w:ind w:left="6"/>
              <w:jc w:val="left"/>
              <w:textAlignment w:val="auto"/>
              <w:rPr>
                <w:rFonts w:hint="eastAsia" w:ascii="宋体" w:hAnsi="宋体" w:eastAsia="宋体" w:cs="宋体"/>
                <w:sz w:val="21"/>
                <w:szCs w:val="21"/>
              </w:rPr>
            </w:pPr>
            <w:r>
              <w:rPr>
                <w:rFonts w:hint="eastAsia" w:ascii="宋体" w:hAnsi="宋体" w:eastAsia="宋体" w:cs="宋体"/>
                <w:spacing w:val="21"/>
                <w:sz w:val="21"/>
                <w:szCs w:val="21"/>
              </w:rPr>
              <w:t>6</w:t>
            </w:r>
            <w:r>
              <w:rPr>
                <w:rFonts w:hint="eastAsia" w:ascii="宋体" w:hAnsi="宋体" w:eastAsia="宋体" w:cs="宋体"/>
                <w:spacing w:val="13"/>
                <w:sz w:val="21"/>
                <w:szCs w:val="21"/>
              </w:rPr>
              <w:t>.了解常用标准件(外购件)的规格型号、作用并能正确使用；</w:t>
            </w:r>
          </w:p>
          <w:p>
            <w:pPr>
              <w:keepNext w:val="0"/>
              <w:keepLines w:val="0"/>
              <w:pageBreakBefore w:val="0"/>
              <w:kinsoku/>
              <w:wordWrap/>
              <w:overflowPunct/>
              <w:topLinePunct w:val="0"/>
              <w:autoSpaceDE/>
              <w:autoSpaceDN/>
              <w:bidi w:val="0"/>
              <w:adjustRightInd w:val="0"/>
              <w:snapToGrid w:val="0"/>
              <w:spacing w:line="240" w:lineRule="auto"/>
              <w:ind w:left="2"/>
              <w:jc w:val="left"/>
              <w:textAlignment w:val="auto"/>
              <w:rPr>
                <w:rFonts w:hint="eastAsia" w:ascii="宋体" w:hAnsi="宋体" w:eastAsia="宋体" w:cs="宋体"/>
                <w:sz w:val="21"/>
                <w:szCs w:val="21"/>
              </w:rPr>
            </w:pPr>
            <w:r>
              <w:rPr>
                <w:rFonts w:hint="eastAsia" w:ascii="宋体" w:hAnsi="宋体" w:eastAsia="宋体" w:cs="宋体"/>
                <w:spacing w:val="2"/>
                <w:sz w:val="21"/>
                <w:szCs w:val="21"/>
              </w:rPr>
              <w:t>7.能进</w:t>
            </w:r>
            <w:r>
              <w:rPr>
                <w:rFonts w:hint="eastAsia" w:ascii="宋体" w:hAnsi="宋体" w:eastAsia="宋体" w:cs="宋体"/>
                <w:spacing w:val="1"/>
                <w:sz w:val="21"/>
                <w:szCs w:val="21"/>
              </w:rPr>
              <w:t>行各种理论计算，保证产品的可靠性；</w:t>
            </w:r>
          </w:p>
          <w:p>
            <w:pPr>
              <w:keepNext w:val="0"/>
              <w:keepLines w:val="0"/>
              <w:pageBreakBefore w:val="0"/>
              <w:kinsoku/>
              <w:wordWrap/>
              <w:overflowPunct/>
              <w:topLinePunct w:val="0"/>
              <w:autoSpaceDE/>
              <w:autoSpaceDN/>
              <w:bidi w:val="0"/>
              <w:adjustRightInd w:val="0"/>
              <w:snapToGrid w:val="0"/>
              <w:spacing w:line="240" w:lineRule="auto"/>
              <w:ind w:left="13"/>
              <w:jc w:val="left"/>
              <w:textAlignment w:val="auto"/>
              <w:rPr>
                <w:rFonts w:hint="eastAsia" w:ascii="宋体" w:hAnsi="宋体" w:eastAsia="宋体" w:cs="宋体"/>
                <w:sz w:val="21"/>
                <w:szCs w:val="21"/>
              </w:rPr>
            </w:pPr>
            <w:r>
              <w:rPr>
                <w:rFonts w:hint="eastAsia" w:ascii="宋体" w:hAnsi="宋体" w:eastAsia="宋体" w:cs="宋体"/>
                <w:spacing w:val="-2"/>
                <w:position w:val="11"/>
                <w:sz w:val="21"/>
                <w:szCs w:val="21"/>
              </w:rPr>
              <w:t>8.现场协调、解决问题的</w:t>
            </w:r>
            <w:r>
              <w:rPr>
                <w:rFonts w:hint="eastAsia" w:ascii="宋体" w:hAnsi="宋体" w:eastAsia="宋体" w:cs="宋体"/>
                <w:spacing w:val="-1"/>
                <w:position w:val="11"/>
                <w:sz w:val="21"/>
                <w:szCs w:val="21"/>
              </w:rPr>
              <w:t>能力；</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z w:val="21"/>
                <w:szCs w:val="21"/>
              </w:rPr>
            </w:pPr>
            <w:r>
              <w:rPr>
                <w:rFonts w:hint="eastAsia" w:ascii="宋体" w:hAnsi="宋体" w:eastAsia="宋体" w:cs="宋体"/>
                <w:spacing w:val="-8"/>
                <w:sz w:val="21"/>
                <w:szCs w:val="21"/>
              </w:rPr>
              <w:t>9</w:t>
            </w:r>
            <w:r>
              <w:rPr>
                <w:rFonts w:hint="eastAsia" w:ascii="宋体" w:hAnsi="宋体" w:eastAsia="宋体" w:cs="宋体"/>
                <w:spacing w:val="-6"/>
                <w:sz w:val="21"/>
                <w:szCs w:val="21"/>
              </w:rPr>
              <w:t>.持续改进能力；</w:t>
            </w:r>
          </w:p>
          <w:p>
            <w:pPr>
              <w:keepNext w:val="0"/>
              <w:keepLines w:val="0"/>
              <w:pageBreakBefore w:val="0"/>
              <w:kinsoku/>
              <w:wordWrap/>
              <w:overflowPunct/>
              <w:topLinePunct w:val="0"/>
              <w:autoSpaceDE/>
              <w:autoSpaceDN/>
              <w:bidi w:val="0"/>
              <w:adjustRightInd w:val="0"/>
              <w:snapToGrid w:val="0"/>
              <w:spacing w:line="240" w:lineRule="auto"/>
              <w:ind w:left="31"/>
              <w:jc w:val="left"/>
              <w:textAlignment w:val="auto"/>
              <w:rPr>
                <w:rFonts w:hint="eastAsia" w:ascii="宋体" w:hAnsi="宋体" w:eastAsia="宋体" w:cs="宋体"/>
                <w:kern w:val="0"/>
                <w:sz w:val="21"/>
                <w:szCs w:val="21"/>
                <w:lang w:eastAsia="zh-CN"/>
              </w:rPr>
            </w:pPr>
            <w:r>
              <w:rPr>
                <w:rFonts w:hint="eastAsia" w:ascii="宋体" w:hAnsi="宋体" w:eastAsia="宋体" w:cs="宋体"/>
                <w:spacing w:val="-10"/>
                <w:sz w:val="21"/>
                <w:szCs w:val="21"/>
              </w:rPr>
              <w:t>1</w:t>
            </w:r>
            <w:r>
              <w:rPr>
                <w:rFonts w:hint="eastAsia" w:ascii="宋体" w:hAnsi="宋体" w:eastAsia="宋体" w:cs="宋体"/>
                <w:spacing w:val="-9"/>
                <w:sz w:val="21"/>
                <w:szCs w:val="21"/>
              </w:rPr>
              <w:t>0</w:t>
            </w:r>
            <w:r>
              <w:rPr>
                <w:rFonts w:hint="eastAsia" w:ascii="宋体" w:hAnsi="宋体" w:eastAsia="宋体" w:cs="宋体"/>
                <w:spacing w:val="-5"/>
                <w:sz w:val="21"/>
                <w:szCs w:val="21"/>
              </w:rPr>
              <w:t>.技术引进和提高。</w:t>
            </w:r>
          </w:p>
        </w:tc>
      </w:tr>
      <w:tr>
        <w:tblPrEx>
          <w:tblCellMar>
            <w:top w:w="0" w:type="dxa"/>
            <w:left w:w="108" w:type="dxa"/>
            <w:bottom w:w="0" w:type="dxa"/>
            <w:right w:w="108" w:type="dxa"/>
          </w:tblCellMar>
        </w:tblPrEx>
        <w:trPr>
          <w:trHeight w:val="1331"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1"/>
                <w:sz w:val="21"/>
                <w:szCs w:val="21"/>
              </w:rPr>
              <w:t>2.电气</w:t>
            </w:r>
            <w:r>
              <w:rPr>
                <w:rFonts w:hint="eastAsia" w:ascii="宋体" w:hAnsi="宋体" w:eastAsia="宋体" w:cs="宋体"/>
                <w:sz w:val="21"/>
                <w:szCs w:val="21"/>
              </w:rPr>
              <w:t>设计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795" w:firstLine="31"/>
              <w:jc w:val="left"/>
              <w:textAlignment w:val="auto"/>
              <w:rPr>
                <w:rFonts w:hint="eastAsia" w:ascii="宋体" w:hAnsi="宋体" w:eastAsia="宋体" w:cs="宋体"/>
                <w:sz w:val="21"/>
                <w:szCs w:val="21"/>
              </w:rPr>
            </w:pPr>
            <w:r>
              <w:rPr>
                <w:rFonts w:hint="eastAsia" w:ascii="宋体" w:hAnsi="宋体" w:eastAsia="宋体" w:cs="宋体"/>
                <w:spacing w:val="2"/>
                <w:sz w:val="21"/>
                <w:szCs w:val="21"/>
              </w:rPr>
              <w:t>1.能熟练掌握电气工程制图方法及制图标准，并能使用相应软件</w:t>
            </w:r>
            <w:r>
              <w:rPr>
                <w:rFonts w:hint="eastAsia" w:ascii="宋体" w:hAnsi="宋体" w:eastAsia="宋体" w:cs="宋体"/>
                <w:sz w:val="21"/>
                <w:szCs w:val="21"/>
              </w:rPr>
              <w:t xml:space="preserve">；                </w:t>
            </w:r>
            <w:r>
              <w:rPr>
                <w:rFonts w:hint="eastAsia" w:ascii="宋体" w:hAnsi="宋体" w:eastAsia="宋体" w:cs="宋体"/>
                <w:spacing w:val="2"/>
                <w:sz w:val="21"/>
                <w:szCs w:val="21"/>
              </w:rPr>
              <w:t>2.了解所涉及电气元器件</w:t>
            </w:r>
            <w:r>
              <w:rPr>
                <w:rFonts w:hint="eastAsia" w:ascii="宋体" w:hAnsi="宋体" w:eastAsia="宋体" w:cs="宋体"/>
                <w:spacing w:val="1"/>
                <w:sz w:val="21"/>
                <w:szCs w:val="21"/>
              </w:rPr>
              <w:t>的结构、原理与功能；</w:t>
            </w:r>
            <w:r>
              <w:rPr>
                <w:rFonts w:hint="eastAsia" w:ascii="宋体" w:hAnsi="宋体" w:eastAsia="宋体" w:cs="宋体"/>
                <w:sz w:val="21"/>
                <w:szCs w:val="21"/>
              </w:rPr>
              <w:t xml:space="preserve">                                </w:t>
            </w:r>
            <w:r>
              <w:rPr>
                <w:rFonts w:hint="eastAsia" w:ascii="宋体" w:hAnsi="宋体" w:eastAsia="宋体" w:cs="宋体"/>
                <w:spacing w:val="3"/>
                <w:sz w:val="21"/>
                <w:szCs w:val="21"/>
              </w:rPr>
              <w:t>3.具有电气设计基础理论知识，能对电气生产与调试进行指</w:t>
            </w:r>
            <w:r>
              <w:rPr>
                <w:rFonts w:hint="eastAsia" w:ascii="宋体" w:hAnsi="宋体" w:eastAsia="宋体" w:cs="宋体"/>
                <w:spacing w:val="1"/>
                <w:sz w:val="21"/>
                <w:szCs w:val="21"/>
              </w:rPr>
              <w:t>导</w:t>
            </w:r>
            <w:r>
              <w:rPr>
                <w:rFonts w:hint="eastAsia" w:ascii="宋体" w:hAnsi="宋体" w:eastAsia="宋体" w:cs="宋体"/>
                <w:sz w:val="21"/>
                <w:szCs w:val="21"/>
              </w:rPr>
              <w:t xml:space="preserve">；                  </w:t>
            </w:r>
            <w:r>
              <w:rPr>
                <w:rFonts w:hint="eastAsia" w:ascii="宋体" w:hAnsi="宋体" w:eastAsia="宋体" w:cs="宋体"/>
                <w:spacing w:val="6"/>
                <w:sz w:val="21"/>
                <w:szCs w:val="21"/>
              </w:rPr>
              <w:t>4.熟悉电气行业及</w:t>
            </w:r>
            <w:r>
              <w:rPr>
                <w:rFonts w:hint="eastAsia" w:ascii="宋体" w:hAnsi="宋体" w:eastAsia="宋体" w:cs="宋体"/>
                <w:spacing w:val="5"/>
                <w:sz w:val="21"/>
                <w:szCs w:val="21"/>
              </w:rPr>
              <w:t>其</w:t>
            </w:r>
            <w:r>
              <w:rPr>
                <w:rFonts w:hint="eastAsia" w:ascii="宋体" w:hAnsi="宋体" w:eastAsia="宋体" w:cs="宋体"/>
                <w:spacing w:val="3"/>
                <w:sz w:val="21"/>
                <w:szCs w:val="21"/>
              </w:rPr>
              <w:t>特定行业的标准要求，保证其电气设计符合行业相应技术规范；</w:t>
            </w:r>
            <w:r>
              <w:rPr>
                <w:rFonts w:hint="eastAsia" w:ascii="宋体" w:hAnsi="宋体" w:eastAsia="宋体" w:cs="宋体"/>
                <w:sz w:val="21"/>
                <w:szCs w:val="21"/>
              </w:rPr>
              <w:t xml:space="preserve"> </w:t>
            </w:r>
            <w:r>
              <w:rPr>
                <w:rFonts w:hint="eastAsia" w:ascii="宋体" w:hAnsi="宋体" w:eastAsia="宋体" w:cs="宋体"/>
                <w:spacing w:val="-6"/>
                <w:sz w:val="21"/>
                <w:szCs w:val="21"/>
              </w:rPr>
              <w:t>5.</w:t>
            </w:r>
            <w:r>
              <w:rPr>
                <w:rFonts w:hint="eastAsia" w:ascii="宋体" w:hAnsi="宋体" w:eastAsia="宋体" w:cs="宋体"/>
                <w:spacing w:val="-3"/>
                <w:sz w:val="21"/>
                <w:szCs w:val="21"/>
              </w:rPr>
              <w:t>掌握电气安全知识；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spacing w:val="1"/>
                <w:sz w:val="21"/>
                <w:szCs w:val="21"/>
              </w:rPr>
              <w:t>6</w:t>
            </w:r>
            <w:r>
              <w:rPr>
                <w:rFonts w:hint="eastAsia" w:ascii="宋体" w:hAnsi="宋体" w:eastAsia="宋体" w:cs="宋体"/>
                <w:sz w:val="21"/>
                <w:szCs w:val="21"/>
              </w:rPr>
              <w:t xml:space="preserve">.掌握简单控制程序的编制。 </w:t>
            </w:r>
          </w:p>
        </w:tc>
      </w:tr>
      <w:tr>
        <w:tblPrEx>
          <w:tblCellMar>
            <w:top w:w="0" w:type="dxa"/>
            <w:left w:w="108" w:type="dxa"/>
            <w:bottom w:w="0" w:type="dxa"/>
            <w:right w:w="108" w:type="dxa"/>
          </w:tblCellMar>
        </w:tblPrEx>
        <w:trPr>
          <w:trHeight w:val="819"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4"/>
              <w:textAlignment w:val="auto"/>
              <w:rPr>
                <w:rFonts w:hint="eastAsia" w:ascii="宋体" w:hAnsi="宋体" w:eastAsia="宋体" w:cs="宋体"/>
                <w:sz w:val="21"/>
                <w:szCs w:val="21"/>
              </w:rPr>
            </w:pPr>
            <w:r>
              <w:rPr>
                <w:rFonts w:hint="eastAsia" w:ascii="宋体" w:hAnsi="宋体" w:eastAsia="宋体" w:cs="宋体"/>
                <w:spacing w:val="2"/>
                <w:sz w:val="21"/>
                <w:szCs w:val="21"/>
              </w:rPr>
              <w:t>3.机电</w:t>
            </w:r>
            <w:r>
              <w:rPr>
                <w:rFonts w:hint="eastAsia" w:ascii="宋体" w:hAnsi="宋体" w:eastAsia="宋体" w:cs="宋体"/>
                <w:spacing w:val="1"/>
                <w:sz w:val="21"/>
                <w:szCs w:val="21"/>
              </w:rPr>
              <w:t>一体化设计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6"/>
                <w:sz w:val="21"/>
                <w:szCs w:val="21"/>
              </w:rPr>
              <w:t>了解机械</w:t>
            </w:r>
            <w:r>
              <w:rPr>
                <w:rFonts w:hint="eastAsia" w:ascii="宋体" w:hAnsi="宋体" w:eastAsia="宋体" w:cs="宋体"/>
                <w:spacing w:val="5"/>
                <w:sz w:val="21"/>
                <w:szCs w:val="21"/>
              </w:rPr>
              <w:t>电</w:t>
            </w:r>
            <w:r>
              <w:rPr>
                <w:rFonts w:hint="eastAsia" w:ascii="宋体" w:hAnsi="宋体" w:eastAsia="宋体" w:cs="宋体"/>
                <w:spacing w:val="3"/>
                <w:sz w:val="21"/>
                <w:szCs w:val="21"/>
              </w:rPr>
              <w:t>气基础知识及相应标准及其规范，能用相应软件绘制合格的工程图</w:t>
            </w:r>
            <w:r>
              <w:rPr>
                <w:rFonts w:hint="eastAsia" w:ascii="宋体" w:hAnsi="宋体" w:eastAsia="宋体" w:cs="宋体"/>
                <w:sz w:val="21"/>
                <w:szCs w:val="21"/>
              </w:rPr>
              <w:t xml:space="preserve">          </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spacing w:val="2"/>
                <w:sz w:val="21"/>
                <w:szCs w:val="21"/>
              </w:rPr>
              <w:t>能对机电产品进行零配件选择、生产指导与调试验证；</w:t>
            </w:r>
            <w:r>
              <w:rPr>
                <w:rFonts w:hint="eastAsia" w:ascii="宋体" w:hAnsi="宋体" w:eastAsia="宋体" w:cs="宋体"/>
                <w:sz w:val="21"/>
                <w:szCs w:val="21"/>
              </w:rPr>
              <w:t xml:space="preserve">                                  </w:t>
            </w:r>
            <w:r>
              <w:rPr>
                <w:rFonts w:hint="eastAsia" w:ascii="宋体" w:hAnsi="宋体" w:eastAsia="宋体" w:cs="宋体"/>
                <w:spacing w:val="8"/>
                <w:sz w:val="21"/>
                <w:szCs w:val="21"/>
              </w:rPr>
              <w:t>3.</w:t>
            </w:r>
            <w:r>
              <w:rPr>
                <w:rFonts w:hint="eastAsia" w:ascii="宋体" w:hAnsi="宋体" w:eastAsia="宋体" w:cs="宋体"/>
                <w:spacing w:val="7"/>
                <w:sz w:val="21"/>
                <w:szCs w:val="21"/>
              </w:rPr>
              <w:t>能</w:t>
            </w:r>
            <w:r>
              <w:rPr>
                <w:rFonts w:hint="eastAsia" w:ascii="宋体" w:hAnsi="宋体" w:eastAsia="宋体" w:cs="宋体"/>
                <w:spacing w:val="4"/>
                <w:sz w:val="21"/>
                <w:szCs w:val="21"/>
              </w:rPr>
              <w:t>根据相应的标准及其规范进行检验，判定其设计的合理性、有效性与安全性。</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1386"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4"/>
                <w:position w:val="11"/>
                <w:sz w:val="21"/>
                <w:szCs w:val="21"/>
              </w:rPr>
              <w:t>工</w:t>
            </w:r>
            <w:r>
              <w:rPr>
                <w:rFonts w:hint="eastAsia" w:ascii="宋体" w:hAnsi="宋体" w:eastAsia="宋体" w:cs="宋体"/>
                <w:spacing w:val="3"/>
                <w:position w:val="11"/>
                <w:sz w:val="21"/>
                <w:szCs w:val="21"/>
              </w:rPr>
              <w:t>艺</w:t>
            </w:r>
            <w:r>
              <w:rPr>
                <w:rFonts w:hint="eastAsia" w:ascii="宋体" w:hAnsi="宋体" w:eastAsia="宋体" w:cs="宋体"/>
                <w:spacing w:val="2"/>
                <w:position w:val="11"/>
                <w:sz w:val="21"/>
                <w:szCs w:val="21"/>
              </w:rPr>
              <w:t>文件</w:t>
            </w:r>
          </w:p>
          <w:p>
            <w:pPr>
              <w:keepNext w:val="0"/>
              <w:keepLines w:val="0"/>
              <w:pageBreakBefore w:val="0"/>
              <w:kinsoku/>
              <w:wordWrap/>
              <w:overflowPunct/>
              <w:topLinePunct w:val="0"/>
              <w:autoSpaceDE/>
              <w:autoSpaceDN/>
              <w:bidi w:val="0"/>
              <w:adjustRightInd w:val="0"/>
              <w:snapToGrid w:val="0"/>
              <w:spacing w:line="240" w:lineRule="auto"/>
              <w:ind w:left="2175"/>
              <w:textAlignment w:val="auto"/>
              <w:rPr>
                <w:rFonts w:hint="eastAsia" w:ascii="宋体" w:hAnsi="宋体" w:eastAsia="宋体" w:cs="宋体"/>
                <w:sz w:val="21"/>
                <w:szCs w:val="21"/>
              </w:rPr>
            </w:pPr>
            <w:r>
              <w:rPr>
                <w:rFonts w:hint="eastAsia" w:ascii="宋体" w:hAnsi="宋体" w:eastAsia="宋体" w:cs="宋体"/>
                <w:spacing w:val="-1"/>
                <w:sz w:val="21"/>
                <w:szCs w:val="21"/>
              </w:rPr>
              <w:t>编</w:t>
            </w:r>
            <w:r>
              <w:rPr>
                <w:rFonts w:hint="eastAsia" w:ascii="宋体" w:hAnsi="宋体" w:eastAsia="宋体" w:cs="宋体"/>
                <w:sz w:val="21"/>
                <w:szCs w:val="21"/>
              </w:rPr>
              <w:t>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5"/>
              <w:textAlignment w:val="auto"/>
              <w:rPr>
                <w:rFonts w:hint="eastAsia" w:ascii="宋体" w:hAnsi="宋体" w:eastAsia="宋体" w:cs="宋体"/>
                <w:sz w:val="21"/>
                <w:szCs w:val="21"/>
              </w:rPr>
            </w:pPr>
            <w:r>
              <w:rPr>
                <w:rFonts w:hint="eastAsia" w:ascii="宋体" w:hAnsi="宋体" w:eastAsia="宋体" w:cs="宋体"/>
                <w:spacing w:val="-2"/>
                <w:sz w:val="21"/>
                <w:szCs w:val="21"/>
              </w:rPr>
              <w:t>1.编制工艺流程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1"/>
                <w:sz w:val="21"/>
                <w:szCs w:val="21"/>
              </w:rPr>
            </w:pPr>
            <w:r>
              <w:rPr>
                <w:rFonts w:hint="eastAsia" w:ascii="宋体" w:hAnsi="宋体" w:eastAsia="宋体" w:cs="宋体"/>
                <w:spacing w:val="-4"/>
                <w:sz w:val="21"/>
                <w:szCs w:val="21"/>
              </w:rPr>
              <w:t>能够认识图</w:t>
            </w:r>
            <w:r>
              <w:rPr>
                <w:rFonts w:hint="eastAsia" w:ascii="宋体" w:hAnsi="宋体" w:eastAsia="宋体" w:cs="宋体"/>
                <w:spacing w:val="-2"/>
                <w:sz w:val="21"/>
                <w:szCs w:val="21"/>
              </w:rPr>
              <w:t>纸技术要求、尺寸、精度、公差等；</w:t>
            </w:r>
            <w:r>
              <w:rPr>
                <w:rFonts w:hint="eastAsia" w:ascii="宋体" w:hAnsi="宋体" w:eastAsia="宋体" w:cs="宋体"/>
                <w:sz w:val="21"/>
                <w:szCs w:val="21"/>
              </w:rPr>
              <w:t xml:space="preserve">                                    </w:t>
            </w:r>
            <w:r>
              <w:rPr>
                <w:rFonts w:hint="eastAsia" w:ascii="宋体" w:hAnsi="宋体" w:eastAsia="宋体" w:cs="宋体"/>
                <w:spacing w:val="-2"/>
                <w:sz w:val="21"/>
                <w:szCs w:val="21"/>
              </w:rPr>
              <w:t>2.能够掌握各机床加工方法(如键槽可以有几种加工</w:t>
            </w:r>
            <w:r>
              <w:rPr>
                <w:rFonts w:hint="eastAsia" w:ascii="宋体" w:hAnsi="宋体" w:eastAsia="宋体" w:cs="宋体"/>
                <w:spacing w:val="-1"/>
                <w:sz w:val="21"/>
                <w:szCs w:val="21"/>
              </w:rPr>
              <w:t>方法)以及所使用机床加工精度、范围；</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4"/>
                <w:position w:val="10"/>
                <w:sz w:val="21"/>
                <w:szCs w:val="21"/>
                <w:lang w:val="en-US" w:eastAsia="zh-CN"/>
              </w:rPr>
              <w:t>3</w:t>
            </w:r>
            <w:r>
              <w:rPr>
                <w:rFonts w:hint="eastAsia" w:ascii="宋体" w:hAnsi="宋体" w:eastAsia="宋体" w:cs="宋体"/>
                <w:spacing w:val="-4"/>
                <w:position w:val="10"/>
                <w:sz w:val="21"/>
                <w:szCs w:val="21"/>
              </w:rPr>
              <w:t>.</w:t>
            </w:r>
            <w:r>
              <w:rPr>
                <w:rFonts w:hint="eastAsia" w:ascii="宋体" w:hAnsi="宋体" w:eastAsia="宋体" w:cs="宋体"/>
                <w:spacing w:val="-2"/>
                <w:position w:val="10"/>
                <w:sz w:val="21"/>
                <w:szCs w:val="21"/>
              </w:rPr>
              <w:t>能够掌握材料力学性能、热处理性能、热处理方法；</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.能</w:t>
            </w:r>
            <w:r>
              <w:rPr>
                <w:rFonts w:hint="eastAsia" w:ascii="宋体" w:hAnsi="宋体" w:eastAsia="宋体" w:cs="宋体"/>
                <w:spacing w:val="-5"/>
                <w:sz w:val="21"/>
                <w:szCs w:val="21"/>
              </w:rPr>
              <w:t>够</w:t>
            </w:r>
            <w:r>
              <w:rPr>
                <w:rFonts w:hint="eastAsia" w:ascii="宋体" w:hAnsi="宋体" w:eastAsia="宋体" w:cs="宋体"/>
                <w:spacing w:val="-3"/>
                <w:sz w:val="21"/>
                <w:szCs w:val="21"/>
              </w:rPr>
              <w:t>选择精度高、成本低的加工方法；</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.能够了解各刀、刃具、夹具的性能</w:t>
            </w:r>
            <w:r>
              <w:rPr>
                <w:rFonts w:hint="eastAsia" w:ascii="宋体" w:hAnsi="宋体" w:eastAsia="宋体" w:cs="宋体"/>
                <w:spacing w:val="-2"/>
                <w:sz w:val="21"/>
                <w:szCs w:val="21"/>
              </w:rPr>
              <w:t>；</w:t>
            </w:r>
          </w:p>
          <w:p>
            <w:pPr>
              <w:keepNext w:val="0"/>
              <w:keepLines w:val="0"/>
              <w:pageBreakBefore w:val="0"/>
              <w:kinsoku/>
              <w:wordWrap/>
              <w:overflowPunct/>
              <w:topLinePunct w:val="0"/>
              <w:autoSpaceDE/>
              <w:autoSpaceDN/>
              <w:bidi w:val="0"/>
              <w:adjustRightInd w:val="0"/>
              <w:snapToGrid w:val="0"/>
              <w:spacing w:line="240" w:lineRule="auto"/>
              <w:ind w:left="13"/>
              <w:jc w:val="left"/>
              <w:textAlignment w:val="auto"/>
              <w:rPr>
                <w:rFonts w:hint="eastAsia" w:ascii="宋体" w:hAnsi="宋体" w:eastAsia="宋体" w:cs="宋体"/>
                <w:sz w:val="21"/>
                <w:szCs w:val="21"/>
              </w:rPr>
            </w:pPr>
            <w:r>
              <w:rPr>
                <w:rFonts w:hint="eastAsia" w:ascii="宋体" w:hAnsi="宋体" w:eastAsia="宋体" w:cs="宋体"/>
                <w:spacing w:val="-10"/>
                <w:position w:val="10"/>
                <w:sz w:val="21"/>
                <w:szCs w:val="21"/>
                <w:lang w:val="en-US" w:eastAsia="zh-CN"/>
              </w:rPr>
              <w:t>6</w:t>
            </w:r>
            <w:r>
              <w:rPr>
                <w:rFonts w:hint="eastAsia" w:ascii="宋体" w:hAnsi="宋体" w:eastAsia="宋体" w:cs="宋体"/>
                <w:spacing w:val="-6"/>
                <w:position w:val="10"/>
                <w:sz w:val="21"/>
                <w:szCs w:val="21"/>
              </w:rPr>
              <w:t>.能正确确定切削参数；</w:t>
            </w:r>
          </w:p>
          <w:p>
            <w:pPr>
              <w:keepNext w:val="0"/>
              <w:keepLines w:val="0"/>
              <w:pageBreakBefore w:val="0"/>
              <w:kinsoku/>
              <w:wordWrap/>
              <w:overflowPunct/>
              <w:topLinePunct w:val="0"/>
              <w:autoSpaceDE/>
              <w:autoSpaceDN/>
              <w:bidi w:val="0"/>
              <w:adjustRightInd w:val="0"/>
              <w:snapToGrid w:val="0"/>
              <w:spacing w:line="240" w:lineRule="auto"/>
              <w:ind w:left="5"/>
              <w:jc w:val="left"/>
              <w:textAlignment w:val="auto"/>
              <w:rPr>
                <w:rFonts w:hint="eastAsia" w:ascii="宋体" w:hAnsi="宋体" w:eastAsia="宋体" w:cs="宋体"/>
                <w:spacing w:val="-1"/>
                <w:sz w:val="21"/>
                <w:szCs w:val="21"/>
                <w:lang w:eastAsia="zh-CN"/>
              </w:rPr>
            </w:pPr>
            <w:r>
              <w:rPr>
                <w:rFonts w:hint="eastAsia" w:ascii="宋体" w:hAnsi="宋体" w:eastAsia="宋体" w:cs="宋体"/>
                <w:spacing w:val="-2"/>
                <w:sz w:val="21"/>
                <w:szCs w:val="21"/>
                <w:lang w:val="en-US" w:eastAsia="zh-CN"/>
              </w:rPr>
              <w:t>7</w:t>
            </w:r>
            <w:r>
              <w:rPr>
                <w:rFonts w:hint="eastAsia" w:ascii="宋体" w:hAnsi="宋体" w:eastAsia="宋体" w:cs="宋体"/>
                <w:spacing w:val="-2"/>
                <w:sz w:val="21"/>
                <w:szCs w:val="21"/>
              </w:rPr>
              <w:t>.能够编制工艺卡片及其</w:t>
            </w:r>
            <w:r>
              <w:rPr>
                <w:rFonts w:hint="eastAsia" w:ascii="宋体" w:hAnsi="宋体" w:eastAsia="宋体" w:cs="宋体"/>
                <w:spacing w:val="-1"/>
                <w:sz w:val="21"/>
                <w:szCs w:val="21"/>
              </w:rPr>
              <w:t>相应的数控加工程序。</w:t>
            </w:r>
          </w:p>
        </w:tc>
      </w:tr>
      <w:tr>
        <w:tblPrEx>
          <w:tblCellMar>
            <w:top w:w="0" w:type="dxa"/>
            <w:left w:w="108" w:type="dxa"/>
            <w:bottom w:w="0" w:type="dxa"/>
            <w:right w:w="108" w:type="dxa"/>
          </w:tblCellMar>
        </w:tblPrEx>
        <w:trPr>
          <w:trHeight w:val="1484"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1"/>
                <w:sz w:val="21"/>
                <w:szCs w:val="21"/>
              </w:rPr>
              <w:t>确定工时定额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0"/>
              <w:jc w:val="left"/>
              <w:textAlignment w:val="auto"/>
              <w:rPr>
                <w:rFonts w:hint="eastAsia" w:ascii="宋体" w:hAnsi="宋体" w:eastAsia="宋体" w:cs="宋体"/>
                <w:sz w:val="21"/>
                <w:szCs w:val="21"/>
              </w:rPr>
            </w:pPr>
            <w:r>
              <w:rPr>
                <w:rFonts w:hint="eastAsia" w:ascii="宋体" w:hAnsi="宋体" w:eastAsia="宋体" w:cs="宋体"/>
                <w:spacing w:val="-12"/>
                <w:sz w:val="21"/>
                <w:szCs w:val="21"/>
              </w:rPr>
              <w:t>1</w:t>
            </w:r>
            <w:r>
              <w:rPr>
                <w:rFonts w:hint="eastAsia" w:ascii="宋体" w:hAnsi="宋体" w:eastAsia="宋体" w:cs="宋体"/>
                <w:spacing w:val="-7"/>
                <w:sz w:val="21"/>
                <w:szCs w:val="21"/>
              </w:rPr>
              <w:t>.</w:t>
            </w:r>
            <w:r>
              <w:rPr>
                <w:rFonts w:hint="eastAsia" w:ascii="宋体" w:hAnsi="宋体" w:eastAsia="宋体" w:cs="宋体"/>
                <w:spacing w:val="-6"/>
                <w:sz w:val="21"/>
                <w:szCs w:val="21"/>
              </w:rPr>
              <w:t>能够测量工件加工余量；</w:t>
            </w:r>
          </w:p>
          <w:p>
            <w:pPr>
              <w:keepNext w:val="0"/>
              <w:keepLines w:val="0"/>
              <w:pageBreakBefore w:val="0"/>
              <w:kinsoku/>
              <w:wordWrap/>
              <w:overflowPunct/>
              <w:topLinePunct w:val="0"/>
              <w:autoSpaceDE/>
              <w:autoSpaceDN/>
              <w:bidi w:val="0"/>
              <w:adjustRightInd w:val="0"/>
              <w:snapToGrid w:val="0"/>
              <w:spacing w:line="240" w:lineRule="auto"/>
              <w:ind w:left="10"/>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5"/>
                <w:sz w:val="21"/>
                <w:szCs w:val="21"/>
              </w:rPr>
              <w:t>能够识别工件加工难度；</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3</w:t>
            </w:r>
            <w:r>
              <w:rPr>
                <w:rFonts w:hint="eastAsia" w:ascii="宋体" w:hAnsi="宋体" w:eastAsia="宋体" w:cs="宋体"/>
                <w:spacing w:val="-9"/>
                <w:sz w:val="21"/>
                <w:szCs w:val="21"/>
              </w:rPr>
              <w:t>.</w:t>
            </w:r>
            <w:r>
              <w:rPr>
                <w:rFonts w:hint="eastAsia" w:ascii="宋体" w:hAnsi="宋体" w:eastAsia="宋体" w:cs="宋体"/>
                <w:spacing w:val="-5"/>
                <w:sz w:val="21"/>
                <w:szCs w:val="21"/>
              </w:rPr>
              <w:t>能够了解机床加工效率；</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6"/>
                <w:sz w:val="21"/>
                <w:szCs w:val="21"/>
              </w:rPr>
              <w:t>4.</w:t>
            </w:r>
            <w:r>
              <w:rPr>
                <w:rFonts w:hint="eastAsia" w:ascii="宋体" w:hAnsi="宋体" w:eastAsia="宋体" w:cs="宋体"/>
                <w:spacing w:val="-4"/>
                <w:sz w:val="21"/>
                <w:szCs w:val="21"/>
              </w:rPr>
              <w:t>能</w:t>
            </w:r>
            <w:r>
              <w:rPr>
                <w:rFonts w:hint="eastAsia" w:ascii="宋体" w:hAnsi="宋体" w:eastAsia="宋体" w:cs="宋体"/>
                <w:spacing w:val="-3"/>
                <w:sz w:val="21"/>
                <w:szCs w:val="21"/>
              </w:rPr>
              <w:t>够了解加工工序的职业健康影响；</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8"/>
                <w:sz w:val="21"/>
                <w:szCs w:val="21"/>
              </w:rPr>
              <w:t>5.能</w:t>
            </w:r>
            <w:r>
              <w:rPr>
                <w:rFonts w:hint="eastAsia" w:ascii="宋体" w:hAnsi="宋体" w:eastAsia="宋体" w:cs="宋体"/>
                <w:spacing w:val="-4"/>
                <w:sz w:val="21"/>
                <w:szCs w:val="21"/>
              </w:rPr>
              <w:t>够了解各工序的加工方法；</w:t>
            </w:r>
          </w:p>
          <w:p>
            <w:pPr>
              <w:keepNext w:val="0"/>
              <w:keepLines w:val="0"/>
              <w:pageBreakBefore w:val="0"/>
              <w:kinsoku/>
              <w:wordWrap/>
              <w:overflowPunct/>
              <w:topLinePunct w:val="0"/>
              <w:autoSpaceDE/>
              <w:autoSpaceDN/>
              <w:bidi w:val="0"/>
              <w:adjustRightInd w:val="0"/>
              <w:snapToGrid w:val="0"/>
              <w:spacing w:line="240" w:lineRule="auto"/>
              <w:ind w:left="7"/>
              <w:jc w:val="left"/>
              <w:textAlignment w:val="auto"/>
              <w:rPr>
                <w:rFonts w:hint="eastAsia" w:ascii="宋体" w:hAnsi="宋体" w:eastAsia="宋体" w:cs="宋体"/>
                <w:kern w:val="0"/>
                <w:sz w:val="21"/>
                <w:szCs w:val="21"/>
                <w:lang w:eastAsia="zh-CN"/>
              </w:rPr>
            </w:pPr>
            <w:r>
              <w:rPr>
                <w:rFonts w:hint="eastAsia" w:ascii="宋体" w:hAnsi="宋体" w:eastAsia="宋体" w:cs="宋体"/>
                <w:spacing w:val="-6"/>
                <w:sz w:val="21"/>
                <w:szCs w:val="21"/>
              </w:rPr>
              <w:t>6</w:t>
            </w:r>
            <w:r>
              <w:rPr>
                <w:rFonts w:hint="eastAsia" w:ascii="宋体" w:hAnsi="宋体" w:eastAsia="宋体" w:cs="宋体"/>
                <w:spacing w:val="-5"/>
                <w:sz w:val="21"/>
                <w:szCs w:val="21"/>
              </w:rPr>
              <w:t>.核定工时定额。</w:t>
            </w:r>
          </w:p>
        </w:tc>
      </w:tr>
      <w:tr>
        <w:tblPrEx>
          <w:tblCellMar>
            <w:top w:w="0" w:type="dxa"/>
            <w:left w:w="108" w:type="dxa"/>
            <w:bottom w:w="0" w:type="dxa"/>
            <w:right w:w="108" w:type="dxa"/>
          </w:tblCellMar>
        </w:tblPrEx>
        <w:trPr>
          <w:trHeight w:val="1123"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1"/>
                <w:sz w:val="21"/>
                <w:szCs w:val="21"/>
              </w:rPr>
              <w:t>3.现场工艺</w:t>
            </w:r>
            <w:r>
              <w:rPr>
                <w:rFonts w:hint="eastAsia" w:ascii="宋体" w:hAnsi="宋体" w:eastAsia="宋体" w:cs="宋体"/>
                <w:sz w:val="21"/>
                <w:szCs w:val="21"/>
              </w:rPr>
              <w:t>指导</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0"/>
              <w:jc w:val="left"/>
              <w:textAlignment w:val="auto"/>
              <w:rPr>
                <w:rFonts w:hint="eastAsia" w:ascii="宋体" w:hAnsi="宋体" w:eastAsia="宋体" w:cs="宋体"/>
                <w:sz w:val="21"/>
                <w:szCs w:val="21"/>
              </w:rPr>
            </w:pPr>
            <w:r>
              <w:rPr>
                <w:rFonts w:hint="eastAsia" w:ascii="宋体" w:hAnsi="宋体" w:eastAsia="宋体" w:cs="宋体"/>
                <w:spacing w:val="-5"/>
                <w:sz w:val="21"/>
                <w:szCs w:val="21"/>
              </w:rPr>
              <w:t>1.能够指导工人装夹、校正零部件</w:t>
            </w:r>
            <w:r>
              <w:rPr>
                <w:rFonts w:hint="eastAsia" w:ascii="宋体" w:hAnsi="宋体" w:eastAsia="宋体" w:cs="宋体"/>
                <w:spacing w:val="-2"/>
                <w:sz w:val="21"/>
                <w:szCs w:val="21"/>
              </w:rPr>
              <w:t>；</w:t>
            </w:r>
          </w:p>
          <w:p>
            <w:pPr>
              <w:keepNext w:val="0"/>
              <w:keepLines w:val="0"/>
              <w:pageBreakBefore w:val="0"/>
              <w:kinsoku/>
              <w:wordWrap/>
              <w:overflowPunct/>
              <w:topLinePunct w:val="0"/>
              <w:autoSpaceDE/>
              <w:autoSpaceDN/>
              <w:bidi w:val="0"/>
              <w:adjustRightInd w:val="0"/>
              <w:snapToGrid w:val="0"/>
              <w:spacing w:line="240" w:lineRule="auto"/>
              <w:ind w:left="10"/>
              <w:jc w:val="left"/>
              <w:textAlignment w:val="auto"/>
              <w:rPr>
                <w:rFonts w:hint="eastAsia" w:ascii="宋体" w:hAnsi="宋体" w:eastAsia="宋体" w:cs="宋体"/>
                <w:sz w:val="21"/>
                <w:szCs w:val="21"/>
              </w:rPr>
            </w:pPr>
            <w:r>
              <w:rPr>
                <w:rFonts w:hint="eastAsia" w:ascii="宋体" w:hAnsi="宋体" w:eastAsia="宋体" w:cs="宋体"/>
                <w:spacing w:val="-6"/>
                <w:sz w:val="21"/>
                <w:szCs w:val="21"/>
              </w:rPr>
              <w:t>2.能</w:t>
            </w:r>
            <w:r>
              <w:rPr>
                <w:rFonts w:hint="eastAsia" w:ascii="宋体" w:hAnsi="宋体" w:eastAsia="宋体" w:cs="宋体"/>
                <w:spacing w:val="-4"/>
                <w:sz w:val="21"/>
                <w:szCs w:val="21"/>
              </w:rPr>
              <w:t>够</w:t>
            </w:r>
            <w:r>
              <w:rPr>
                <w:rFonts w:hint="eastAsia" w:ascii="宋体" w:hAnsi="宋体" w:eastAsia="宋体" w:cs="宋体"/>
                <w:spacing w:val="-3"/>
                <w:sz w:val="21"/>
                <w:szCs w:val="21"/>
              </w:rPr>
              <w:t>设计、安装、使用合适的工装夹具；</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7"/>
                <w:sz w:val="21"/>
                <w:szCs w:val="21"/>
              </w:rPr>
              <w:t>3</w:t>
            </w:r>
            <w:r>
              <w:rPr>
                <w:rFonts w:hint="eastAsia" w:ascii="宋体" w:hAnsi="宋体" w:eastAsia="宋体" w:cs="宋体"/>
                <w:spacing w:val="-4"/>
                <w:sz w:val="21"/>
                <w:szCs w:val="21"/>
              </w:rPr>
              <w:t>.能够了解机床加工的范围、性能；</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4</w:t>
            </w:r>
            <w:r>
              <w:rPr>
                <w:rFonts w:hint="eastAsia" w:ascii="宋体" w:hAnsi="宋体" w:eastAsia="宋体" w:cs="宋体"/>
                <w:spacing w:val="-5"/>
                <w:sz w:val="21"/>
                <w:szCs w:val="21"/>
              </w:rPr>
              <w:t>.能够识别工艺图要求；</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8"/>
                <w:sz w:val="21"/>
                <w:szCs w:val="21"/>
              </w:rPr>
              <w:t>5.能</w:t>
            </w:r>
            <w:r>
              <w:rPr>
                <w:rFonts w:hint="eastAsia" w:ascii="宋体" w:hAnsi="宋体" w:eastAsia="宋体" w:cs="宋体"/>
                <w:spacing w:val="-4"/>
                <w:sz w:val="21"/>
                <w:szCs w:val="21"/>
              </w:rPr>
              <w:t>够合理选择加工刀具；</w:t>
            </w:r>
          </w:p>
          <w:p>
            <w:pPr>
              <w:keepNext w:val="0"/>
              <w:keepLines w:val="0"/>
              <w:pageBreakBefore w:val="0"/>
              <w:kinsoku/>
              <w:wordWrap/>
              <w:overflowPunct/>
              <w:topLinePunct w:val="0"/>
              <w:autoSpaceDE/>
              <w:autoSpaceDN/>
              <w:bidi w:val="0"/>
              <w:adjustRightInd w:val="0"/>
              <w:snapToGrid w:val="0"/>
              <w:spacing w:line="240" w:lineRule="auto"/>
              <w:ind w:left="7"/>
              <w:jc w:val="left"/>
              <w:textAlignment w:val="auto"/>
              <w:rPr>
                <w:rFonts w:hint="eastAsia" w:ascii="宋体" w:hAnsi="宋体" w:eastAsia="宋体" w:cs="宋体"/>
                <w:kern w:val="0"/>
                <w:sz w:val="21"/>
                <w:szCs w:val="21"/>
                <w:lang w:eastAsia="zh-CN"/>
              </w:rPr>
            </w:pPr>
            <w:r>
              <w:rPr>
                <w:rFonts w:hint="eastAsia" w:ascii="宋体" w:hAnsi="宋体" w:eastAsia="宋体" w:cs="宋体"/>
                <w:spacing w:val="-4"/>
                <w:sz w:val="21"/>
                <w:szCs w:val="21"/>
              </w:rPr>
              <w:t>6.能监</w:t>
            </w:r>
            <w:r>
              <w:rPr>
                <w:rFonts w:hint="eastAsia" w:ascii="宋体" w:hAnsi="宋体" w:eastAsia="宋体" w:cs="宋体"/>
                <w:spacing w:val="-3"/>
                <w:sz w:val="21"/>
                <w:szCs w:val="21"/>
              </w:rPr>
              <w:t>督</w:t>
            </w:r>
            <w:r>
              <w:rPr>
                <w:rFonts w:hint="eastAsia" w:ascii="宋体" w:hAnsi="宋体" w:eastAsia="宋体" w:cs="宋体"/>
                <w:spacing w:val="-2"/>
                <w:sz w:val="21"/>
                <w:szCs w:val="21"/>
              </w:rPr>
              <w:t>工艺纪律的执行并记录。</w:t>
            </w:r>
          </w:p>
        </w:tc>
      </w:tr>
      <w:tr>
        <w:tblPrEx>
          <w:tblCellMar>
            <w:top w:w="0" w:type="dxa"/>
            <w:left w:w="108" w:type="dxa"/>
            <w:bottom w:w="0" w:type="dxa"/>
            <w:right w:w="108" w:type="dxa"/>
          </w:tblCellMar>
        </w:tblPrEx>
        <w:trPr>
          <w:trHeight w:val="675"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2"/>
                <w:sz w:val="21"/>
                <w:szCs w:val="21"/>
              </w:rPr>
              <w:t>4.确定工艺文件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0"/>
              <w:jc w:val="left"/>
              <w:textAlignment w:val="auto"/>
              <w:rPr>
                <w:rFonts w:hint="eastAsia" w:ascii="宋体" w:hAnsi="宋体" w:eastAsia="宋体" w:cs="宋体"/>
                <w:sz w:val="21"/>
                <w:szCs w:val="21"/>
              </w:rPr>
            </w:pPr>
            <w:r>
              <w:rPr>
                <w:rFonts w:hint="eastAsia" w:ascii="宋体" w:hAnsi="宋体" w:eastAsia="宋体" w:cs="宋体"/>
                <w:spacing w:val="-6"/>
                <w:position w:val="10"/>
                <w:sz w:val="21"/>
                <w:szCs w:val="21"/>
              </w:rPr>
              <w:t>1</w:t>
            </w:r>
            <w:r>
              <w:rPr>
                <w:rFonts w:hint="eastAsia" w:ascii="宋体" w:hAnsi="宋体" w:eastAsia="宋体" w:cs="宋体"/>
                <w:spacing w:val="-3"/>
                <w:position w:val="10"/>
                <w:sz w:val="21"/>
                <w:szCs w:val="21"/>
              </w:rPr>
              <w:t>.能够结合本公司实际情况确认工艺文件的可行性；</w:t>
            </w:r>
          </w:p>
          <w:p>
            <w:pPr>
              <w:keepNext w:val="0"/>
              <w:keepLines w:val="0"/>
              <w:pageBreakBefore w:val="0"/>
              <w:kinsoku/>
              <w:wordWrap/>
              <w:overflowPunct/>
              <w:topLinePunct w:val="0"/>
              <w:autoSpaceDE/>
              <w:autoSpaceDN/>
              <w:bidi w:val="0"/>
              <w:adjustRightInd w:val="0"/>
              <w:snapToGrid w:val="0"/>
              <w:spacing w:line="240" w:lineRule="auto"/>
              <w:ind w:left="10"/>
              <w:jc w:val="left"/>
              <w:textAlignment w:val="auto"/>
              <w:rPr>
                <w:rFonts w:hint="eastAsia" w:ascii="宋体" w:hAnsi="宋体" w:eastAsia="宋体" w:cs="宋体"/>
                <w:sz w:val="21"/>
                <w:szCs w:val="21"/>
              </w:rPr>
            </w:pPr>
            <w:r>
              <w:rPr>
                <w:rFonts w:hint="eastAsia" w:ascii="宋体" w:hAnsi="宋体" w:eastAsia="宋体" w:cs="宋体"/>
                <w:spacing w:val="20"/>
                <w:sz w:val="21"/>
                <w:szCs w:val="21"/>
              </w:rPr>
              <w:t>2</w:t>
            </w:r>
            <w:r>
              <w:rPr>
                <w:rFonts w:hint="eastAsia" w:ascii="宋体" w:hAnsi="宋体" w:eastAsia="宋体" w:cs="宋体"/>
                <w:spacing w:val="14"/>
                <w:sz w:val="21"/>
                <w:szCs w:val="21"/>
              </w:rPr>
              <w:t>.</w:t>
            </w:r>
            <w:r>
              <w:rPr>
                <w:rFonts w:hint="eastAsia" w:ascii="宋体" w:hAnsi="宋体" w:eastAsia="宋体" w:cs="宋体"/>
                <w:spacing w:val="10"/>
                <w:sz w:val="21"/>
                <w:szCs w:val="21"/>
              </w:rPr>
              <w:t>熟练使用计算机辅助工艺设计软件(</w:t>
            </w:r>
            <w:r>
              <w:rPr>
                <w:rFonts w:hint="eastAsia" w:ascii="宋体" w:hAnsi="宋体" w:eastAsia="宋体" w:cs="宋体"/>
                <w:sz w:val="21"/>
                <w:szCs w:val="21"/>
              </w:rPr>
              <w:t>CAPP</w:t>
            </w:r>
            <w:r>
              <w:rPr>
                <w:rFonts w:hint="eastAsia" w:ascii="宋体" w:hAnsi="宋体" w:eastAsia="宋体" w:cs="宋体"/>
                <w:spacing w:val="10"/>
                <w:sz w:val="21"/>
                <w:szCs w:val="21"/>
              </w:rPr>
              <w:t>)形成工艺文件。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1366" w:hRule="atLeast"/>
          <w:jc w:val="center"/>
        </w:trPr>
        <w:tc>
          <w:tcPr>
            <w:tcW w:w="1650" w:type="dxa"/>
            <w:vMerge w:val="continue"/>
            <w:tcBorders>
              <w:left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restart"/>
            <w:tcBorders>
              <w:top w:val="single" w:color="000000" w:sz="4" w:space="0"/>
              <w:left w:val="nil"/>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4"/>
                <w:sz w:val="21"/>
                <w:szCs w:val="21"/>
              </w:rPr>
              <w:t>质</w:t>
            </w:r>
            <w:r>
              <w:rPr>
                <w:rFonts w:hint="eastAsia" w:ascii="宋体" w:hAnsi="宋体" w:eastAsia="宋体" w:cs="宋体"/>
                <w:spacing w:val="3"/>
                <w:sz w:val="21"/>
                <w:szCs w:val="21"/>
              </w:rPr>
              <w:t>量管控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1"/>
                <w:sz w:val="21"/>
                <w:szCs w:val="21"/>
              </w:rPr>
              <w:t>1.测量检验零部件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0"/>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1</w:t>
            </w:r>
            <w:r>
              <w:rPr>
                <w:rFonts w:hint="eastAsia" w:ascii="宋体" w:hAnsi="宋体" w:eastAsia="宋体" w:cs="宋体"/>
                <w:spacing w:val="-9"/>
                <w:sz w:val="21"/>
                <w:szCs w:val="21"/>
              </w:rPr>
              <w:t>.</w:t>
            </w:r>
            <w:r>
              <w:rPr>
                <w:rFonts w:hint="eastAsia" w:ascii="宋体" w:hAnsi="宋体" w:eastAsia="宋体" w:cs="宋体"/>
                <w:spacing w:val="-5"/>
                <w:sz w:val="21"/>
                <w:szCs w:val="21"/>
              </w:rPr>
              <w:t>能够识别图纸技术参数要求；</w:t>
            </w:r>
          </w:p>
          <w:p>
            <w:pPr>
              <w:keepNext w:val="0"/>
              <w:keepLines w:val="0"/>
              <w:pageBreakBefore w:val="0"/>
              <w:kinsoku/>
              <w:wordWrap/>
              <w:overflowPunct/>
              <w:topLinePunct w:val="0"/>
              <w:autoSpaceDE/>
              <w:autoSpaceDN/>
              <w:bidi w:val="0"/>
              <w:adjustRightInd w:val="0"/>
              <w:snapToGrid w:val="0"/>
              <w:spacing w:line="240" w:lineRule="auto"/>
              <w:ind w:left="10"/>
              <w:jc w:val="left"/>
              <w:textAlignment w:val="auto"/>
              <w:rPr>
                <w:rFonts w:hint="eastAsia" w:ascii="宋体" w:hAnsi="宋体" w:eastAsia="宋体" w:cs="宋体"/>
                <w:sz w:val="21"/>
                <w:szCs w:val="21"/>
              </w:rPr>
            </w:pPr>
            <w:r>
              <w:rPr>
                <w:rFonts w:hint="eastAsia" w:ascii="宋体" w:hAnsi="宋体" w:eastAsia="宋体" w:cs="宋体"/>
                <w:spacing w:val="-5"/>
                <w:position w:val="10"/>
                <w:sz w:val="21"/>
                <w:szCs w:val="21"/>
              </w:rPr>
              <w:t>2.能够了解零部件间配合要求</w:t>
            </w:r>
            <w:r>
              <w:rPr>
                <w:rFonts w:hint="eastAsia" w:ascii="宋体" w:hAnsi="宋体" w:eastAsia="宋体" w:cs="宋体"/>
                <w:spacing w:val="-4"/>
                <w:position w:val="10"/>
                <w:sz w:val="21"/>
                <w:szCs w:val="21"/>
              </w:rPr>
              <w:t>；</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3"/>
                <w:sz w:val="21"/>
                <w:szCs w:val="21"/>
              </w:rPr>
              <w:t>3.能够使用千分尺、卡尺、千分表等测量设备；</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4"/>
                <w:sz w:val="21"/>
                <w:szCs w:val="21"/>
              </w:rPr>
              <w:t>4.了解专</w:t>
            </w:r>
            <w:r>
              <w:rPr>
                <w:rFonts w:hint="eastAsia" w:ascii="宋体" w:hAnsi="宋体" w:eastAsia="宋体" w:cs="宋体"/>
                <w:spacing w:val="-2"/>
                <w:sz w:val="21"/>
                <w:szCs w:val="21"/>
              </w:rPr>
              <w:t>用检测设备如硬度仪、三坐标等的使用；</w:t>
            </w:r>
          </w:p>
          <w:p>
            <w:pPr>
              <w:keepNext w:val="0"/>
              <w:keepLines w:val="0"/>
              <w:pageBreakBefore w:val="0"/>
              <w:kinsoku/>
              <w:wordWrap/>
              <w:overflowPunct/>
              <w:topLinePunct w:val="0"/>
              <w:autoSpaceDE/>
              <w:autoSpaceDN/>
              <w:bidi w:val="0"/>
              <w:adjustRightInd w:val="0"/>
              <w:snapToGrid w:val="0"/>
              <w:spacing w:line="240" w:lineRule="auto"/>
              <w:ind w:left="11"/>
              <w:jc w:val="left"/>
              <w:textAlignment w:val="auto"/>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5"/>
                <w:sz w:val="21"/>
                <w:szCs w:val="21"/>
              </w:rPr>
              <w:t>.</w:t>
            </w:r>
            <w:r>
              <w:rPr>
                <w:rFonts w:hint="eastAsia" w:ascii="宋体" w:hAnsi="宋体" w:eastAsia="宋体" w:cs="宋体"/>
                <w:spacing w:val="-3"/>
                <w:sz w:val="21"/>
                <w:szCs w:val="21"/>
              </w:rPr>
              <w:t>能够出具并判读检验报告。</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r>
        <w:tblPrEx>
          <w:tblCellMar>
            <w:top w:w="0" w:type="dxa"/>
            <w:left w:w="108" w:type="dxa"/>
            <w:bottom w:w="0" w:type="dxa"/>
            <w:right w:w="108" w:type="dxa"/>
          </w:tblCellMar>
        </w:tblPrEx>
        <w:trPr>
          <w:trHeight w:val="1873" w:hRule="atLeast"/>
          <w:jc w:val="center"/>
        </w:trPr>
        <w:tc>
          <w:tcPr>
            <w:tcW w:w="1650" w:type="dxa"/>
            <w:vMerge w:val="continue"/>
            <w:tcBorders>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782" w:type="dxa"/>
            <w:vMerge w:val="continue"/>
            <w:tcBorders>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3305"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pacing w:val="2"/>
                <w:sz w:val="21"/>
                <w:szCs w:val="21"/>
              </w:rPr>
              <w:t>2.质量分析与反</w:t>
            </w:r>
            <w:r>
              <w:rPr>
                <w:rFonts w:hint="eastAsia" w:ascii="宋体" w:hAnsi="宋体" w:eastAsia="宋体" w:cs="宋体"/>
                <w:spacing w:val="1"/>
                <w:sz w:val="21"/>
                <w:szCs w:val="21"/>
              </w:rPr>
              <w:t>馈</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eastAsia="zh-CN"/>
              </w:rPr>
            </w:pPr>
          </w:p>
        </w:tc>
        <w:tc>
          <w:tcPr>
            <w:tcW w:w="8763" w:type="dxa"/>
            <w:tcBorders>
              <w:top w:val="single" w:color="000000" w:sz="4" w:space="0"/>
              <w:left w:val="nil"/>
              <w:bottom w:val="single" w:color="000000" w:sz="4" w:space="0"/>
              <w:right w:val="single" w:color="000000" w:sz="4" w:space="0"/>
            </w:tcBorders>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20"/>
              <w:jc w:val="left"/>
              <w:textAlignment w:val="auto"/>
              <w:rPr>
                <w:rFonts w:hint="eastAsia" w:ascii="宋体" w:hAnsi="宋体" w:eastAsia="宋体" w:cs="宋体"/>
                <w:sz w:val="21"/>
                <w:szCs w:val="21"/>
              </w:rPr>
            </w:pPr>
            <w:r>
              <w:rPr>
                <w:rFonts w:hint="eastAsia" w:ascii="宋体" w:hAnsi="宋体" w:eastAsia="宋体" w:cs="宋体"/>
                <w:spacing w:val="-14"/>
                <w:sz w:val="21"/>
                <w:szCs w:val="21"/>
              </w:rPr>
              <w:t>1</w:t>
            </w:r>
            <w:r>
              <w:rPr>
                <w:rFonts w:hint="eastAsia" w:ascii="宋体" w:hAnsi="宋体" w:eastAsia="宋体" w:cs="宋体"/>
                <w:spacing w:val="-9"/>
                <w:sz w:val="21"/>
                <w:szCs w:val="21"/>
              </w:rPr>
              <w:t>.</w:t>
            </w:r>
            <w:r>
              <w:rPr>
                <w:rFonts w:hint="eastAsia" w:ascii="宋体" w:hAnsi="宋体" w:eastAsia="宋体" w:cs="宋体"/>
                <w:spacing w:val="-7"/>
                <w:sz w:val="21"/>
                <w:szCs w:val="21"/>
              </w:rPr>
              <w:t>能够识别图纸要求；</w:t>
            </w:r>
          </w:p>
          <w:p>
            <w:pPr>
              <w:keepNext w:val="0"/>
              <w:keepLines w:val="0"/>
              <w:pageBreakBefore w:val="0"/>
              <w:kinsoku/>
              <w:wordWrap/>
              <w:overflowPunct/>
              <w:topLinePunct w:val="0"/>
              <w:autoSpaceDE/>
              <w:autoSpaceDN/>
              <w:bidi w:val="0"/>
              <w:adjustRightInd w:val="0"/>
              <w:snapToGrid w:val="0"/>
              <w:spacing w:line="240" w:lineRule="auto"/>
              <w:ind w:left="10"/>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5"/>
                <w:sz w:val="21"/>
                <w:szCs w:val="21"/>
              </w:rPr>
              <w:t>.能够测量工件与图纸对比；</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5"/>
                <w:sz w:val="21"/>
                <w:szCs w:val="21"/>
              </w:rPr>
              <w:t>.能够识别关键质量控制点；</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4"/>
                <w:sz w:val="21"/>
                <w:szCs w:val="21"/>
              </w:rPr>
              <w:t>4.能够分析导致质量问题的原因</w:t>
            </w:r>
            <w:r>
              <w:rPr>
                <w:rFonts w:hint="eastAsia" w:ascii="宋体" w:hAnsi="宋体" w:eastAsia="宋体" w:cs="宋体"/>
                <w:spacing w:val="-2"/>
                <w:sz w:val="21"/>
                <w:szCs w:val="21"/>
              </w:rPr>
              <w:t>；</w:t>
            </w:r>
          </w:p>
          <w:p>
            <w:pPr>
              <w:keepNext w:val="0"/>
              <w:keepLines w:val="0"/>
              <w:pageBreakBefore w:val="0"/>
              <w:kinsoku/>
              <w:wordWrap/>
              <w:overflowPunct/>
              <w:topLinePunct w:val="0"/>
              <w:autoSpaceDE/>
              <w:autoSpaceDN/>
              <w:bidi w:val="0"/>
              <w:adjustRightInd w:val="0"/>
              <w:snapToGrid w:val="0"/>
              <w:spacing w:line="240" w:lineRule="auto"/>
              <w:ind w:left="8"/>
              <w:jc w:val="left"/>
              <w:textAlignment w:val="auto"/>
              <w:rPr>
                <w:rFonts w:hint="eastAsia" w:ascii="宋体" w:hAnsi="宋体" w:eastAsia="宋体" w:cs="宋体"/>
                <w:sz w:val="21"/>
                <w:szCs w:val="21"/>
              </w:rPr>
            </w:pPr>
            <w:r>
              <w:rPr>
                <w:rFonts w:hint="eastAsia" w:ascii="宋体" w:hAnsi="宋体" w:eastAsia="宋体" w:cs="宋体"/>
                <w:spacing w:val="-8"/>
                <w:sz w:val="21"/>
                <w:szCs w:val="21"/>
              </w:rPr>
              <w:t>5</w:t>
            </w:r>
            <w:r>
              <w:rPr>
                <w:rFonts w:hint="eastAsia" w:ascii="宋体" w:hAnsi="宋体" w:eastAsia="宋体" w:cs="宋体"/>
                <w:spacing w:val="-7"/>
                <w:sz w:val="21"/>
                <w:szCs w:val="21"/>
              </w:rPr>
              <w:t>.</w:t>
            </w:r>
            <w:r>
              <w:rPr>
                <w:rFonts w:hint="eastAsia" w:ascii="宋体" w:hAnsi="宋体" w:eastAsia="宋体" w:cs="宋体"/>
                <w:spacing w:val="-4"/>
                <w:sz w:val="21"/>
                <w:szCs w:val="21"/>
              </w:rPr>
              <w:t>能对检、量具进行维护和保养；</w:t>
            </w:r>
          </w:p>
          <w:p>
            <w:pPr>
              <w:keepNext w:val="0"/>
              <w:keepLines w:val="0"/>
              <w:pageBreakBefore w:val="0"/>
              <w:kinsoku/>
              <w:wordWrap/>
              <w:overflowPunct/>
              <w:topLinePunct w:val="0"/>
              <w:autoSpaceDE/>
              <w:autoSpaceDN/>
              <w:bidi w:val="0"/>
              <w:adjustRightInd w:val="0"/>
              <w:snapToGrid w:val="0"/>
              <w:spacing w:line="240" w:lineRule="auto"/>
              <w:ind w:left="9"/>
              <w:jc w:val="left"/>
              <w:textAlignment w:val="auto"/>
              <w:rPr>
                <w:rFonts w:hint="eastAsia" w:ascii="宋体" w:hAnsi="宋体" w:eastAsia="宋体" w:cs="宋体"/>
                <w:sz w:val="21"/>
                <w:szCs w:val="21"/>
              </w:rPr>
            </w:pPr>
            <w:r>
              <w:rPr>
                <w:rFonts w:hint="eastAsia" w:ascii="宋体" w:hAnsi="宋体" w:eastAsia="宋体" w:cs="宋体"/>
                <w:spacing w:val="-9"/>
                <w:sz w:val="21"/>
                <w:szCs w:val="21"/>
              </w:rPr>
              <w:t>6</w:t>
            </w:r>
            <w:r>
              <w:rPr>
                <w:rFonts w:hint="eastAsia" w:ascii="宋体" w:hAnsi="宋体" w:eastAsia="宋体" w:cs="宋体"/>
                <w:spacing w:val="-5"/>
                <w:sz w:val="21"/>
                <w:szCs w:val="21"/>
              </w:rPr>
              <w:t>.掌握检验分析软件、工具；</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7.理解检验标准和检验规范；</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8.检验结果的分析、综合、反馈；</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pacing w:val="-4"/>
                <w:sz w:val="21"/>
                <w:szCs w:val="21"/>
              </w:rPr>
              <w:t>9.自制检具的检定、通用检具的内部校对和送检。</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eastAsia="zh-CN"/>
              </w:rPr>
            </w:pPr>
          </w:p>
        </w:tc>
      </w:tr>
    </w:tbl>
    <w:p>
      <w:pPr>
        <w:rPr>
          <w:rFonts w:hint="eastAsia" w:asciiTheme="majorEastAsia" w:hAnsiTheme="majorEastAsia" w:eastAsiaTheme="majorEastAsia"/>
          <w:lang w:eastAsia="zh-CN"/>
        </w:rPr>
      </w:pPr>
      <w:bookmarkStart w:id="35" w:name="_GoBack"/>
      <w:bookmarkEnd w:id="35"/>
    </w:p>
    <w:p>
      <w:pPr>
        <w:rPr>
          <w:rFonts w:hint="eastAsia" w:asciiTheme="majorEastAsia" w:hAnsiTheme="majorEastAsia" w:eastAsiaTheme="majorEastAsia"/>
          <w:lang w:eastAsia="zh-CN"/>
        </w:rPr>
      </w:pPr>
    </w:p>
    <w:p>
      <w:pPr>
        <w:ind w:firstLine="420" w:firstLineChars="200"/>
        <w:jc w:val="center"/>
        <w:rPr>
          <w:rFonts w:hint="eastAsia" w:asciiTheme="majorEastAsia" w:hAnsiTheme="majorEastAsia" w:eastAsiaTheme="majorEastAsia"/>
          <w:lang w:eastAsia="zh-CN"/>
        </w:rPr>
      </w:pPr>
    </w:p>
    <w:sectPr>
      <w:pgSz w:w="16838" w:h="11906" w:orient="landscape"/>
      <w:pgMar w:top="102" w:right="1440" w:bottom="1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27565"/>
    </w:sdtPr>
    <w:sdtContent>
      <w:p>
        <w:pPr>
          <w:pStyle w:val="6"/>
          <w:jc w:val="center"/>
        </w:pPr>
        <w:r>
          <w:fldChar w:fldCharType="begin"/>
        </w:r>
        <w:r>
          <w:instrText xml:space="preserve">PAGE   \* MERGEFORMAT</w:instrText>
        </w:r>
        <w:r>
          <w:fldChar w:fldCharType="separate"/>
        </w:r>
        <w:r>
          <w:rPr>
            <w:lang w:val="zh-CN"/>
          </w:rPr>
          <w:t>18</w:t>
        </w:r>
        <w:r>
          <w:fldChar w:fldCharType="end"/>
        </w:r>
      </w:p>
    </w:sdtContent>
  </w:sdt>
  <w:p>
    <w:pPr>
      <w:pStyle w:val="6"/>
      <w:tabs>
        <w:tab w:val="center" w:pos="472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AFE4A"/>
    <w:multiLevelType w:val="singleLevel"/>
    <w:tmpl w:val="ACEAFE4A"/>
    <w:lvl w:ilvl="0" w:tentative="0">
      <w:start w:val="1"/>
      <w:numFmt w:val="decimal"/>
      <w:lvlText w:val="%1."/>
      <w:lvlJc w:val="left"/>
      <w:pPr>
        <w:tabs>
          <w:tab w:val="left" w:pos="312"/>
        </w:tabs>
      </w:pPr>
    </w:lvl>
  </w:abstractNum>
  <w:abstractNum w:abstractNumId="1">
    <w:nsid w:val="E24F0B17"/>
    <w:multiLevelType w:val="singleLevel"/>
    <w:tmpl w:val="E24F0B17"/>
    <w:lvl w:ilvl="0" w:tentative="0">
      <w:start w:val="1"/>
      <w:numFmt w:val="decimal"/>
      <w:lvlText w:val="%1."/>
      <w:lvlJc w:val="left"/>
      <w:pPr>
        <w:tabs>
          <w:tab w:val="left" w:pos="312"/>
        </w:tabs>
      </w:pPr>
    </w:lvl>
  </w:abstractNum>
  <w:abstractNum w:abstractNumId="2">
    <w:nsid w:val="7FF9BCCE"/>
    <w:multiLevelType w:val="singleLevel"/>
    <w:tmpl w:val="7FF9BCC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00C05E75"/>
    <w:rsid w:val="00001C8D"/>
    <w:rsid w:val="00001EFB"/>
    <w:rsid w:val="0000215E"/>
    <w:rsid w:val="00002617"/>
    <w:rsid w:val="00003542"/>
    <w:rsid w:val="0000356D"/>
    <w:rsid w:val="0000535D"/>
    <w:rsid w:val="00005440"/>
    <w:rsid w:val="00005793"/>
    <w:rsid w:val="000069DC"/>
    <w:rsid w:val="0000730F"/>
    <w:rsid w:val="0000795C"/>
    <w:rsid w:val="0001059D"/>
    <w:rsid w:val="00012A23"/>
    <w:rsid w:val="00013424"/>
    <w:rsid w:val="0001610A"/>
    <w:rsid w:val="000165EF"/>
    <w:rsid w:val="0001751C"/>
    <w:rsid w:val="00022BE4"/>
    <w:rsid w:val="00022E4B"/>
    <w:rsid w:val="00024B16"/>
    <w:rsid w:val="000270D9"/>
    <w:rsid w:val="00027CBC"/>
    <w:rsid w:val="000300AD"/>
    <w:rsid w:val="000300ED"/>
    <w:rsid w:val="0003024B"/>
    <w:rsid w:val="00031666"/>
    <w:rsid w:val="00031DC5"/>
    <w:rsid w:val="00032211"/>
    <w:rsid w:val="0003279D"/>
    <w:rsid w:val="000329F6"/>
    <w:rsid w:val="00032B65"/>
    <w:rsid w:val="00032CF5"/>
    <w:rsid w:val="0003476D"/>
    <w:rsid w:val="00034EB6"/>
    <w:rsid w:val="000363F9"/>
    <w:rsid w:val="0003657F"/>
    <w:rsid w:val="00036947"/>
    <w:rsid w:val="00036A3B"/>
    <w:rsid w:val="000412D1"/>
    <w:rsid w:val="00042101"/>
    <w:rsid w:val="00043599"/>
    <w:rsid w:val="00045DE1"/>
    <w:rsid w:val="000462BB"/>
    <w:rsid w:val="00050FA0"/>
    <w:rsid w:val="000531C2"/>
    <w:rsid w:val="00055480"/>
    <w:rsid w:val="00055708"/>
    <w:rsid w:val="00055C34"/>
    <w:rsid w:val="000567D3"/>
    <w:rsid w:val="00057239"/>
    <w:rsid w:val="00057F8E"/>
    <w:rsid w:val="00060358"/>
    <w:rsid w:val="00062F9F"/>
    <w:rsid w:val="00064373"/>
    <w:rsid w:val="00064491"/>
    <w:rsid w:val="00066AE0"/>
    <w:rsid w:val="000700EA"/>
    <w:rsid w:val="00070FAA"/>
    <w:rsid w:val="000717A2"/>
    <w:rsid w:val="00073439"/>
    <w:rsid w:val="00074E97"/>
    <w:rsid w:val="00080383"/>
    <w:rsid w:val="00081CF8"/>
    <w:rsid w:val="00084918"/>
    <w:rsid w:val="00084EB1"/>
    <w:rsid w:val="00085942"/>
    <w:rsid w:val="0008643D"/>
    <w:rsid w:val="00086CD8"/>
    <w:rsid w:val="00090499"/>
    <w:rsid w:val="00090CF7"/>
    <w:rsid w:val="00090FF6"/>
    <w:rsid w:val="00091A58"/>
    <w:rsid w:val="00092B61"/>
    <w:rsid w:val="0009331F"/>
    <w:rsid w:val="00093B12"/>
    <w:rsid w:val="00093B67"/>
    <w:rsid w:val="00093DBF"/>
    <w:rsid w:val="00096945"/>
    <w:rsid w:val="00096A2F"/>
    <w:rsid w:val="000A23A3"/>
    <w:rsid w:val="000A29AA"/>
    <w:rsid w:val="000A30DA"/>
    <w:rsid w:val="000A3DD9"/>
    <w:rsid w:val="000A51A0"/>
    <w:rsid w:val="000A6B24"/>
    <w:rsid w:val="000B108E"/>
    <w:rsid w:val="000B313C"/>
    <w:rsid w:val="000B3F54"/>
    <w:rsid w:val="000B4E25"/>
    <w:rsid w:val="000B50A9"/>
    <w:rsid w:val="000B5F58"/>
    <w:rsid w:val="000B76A1"/>
    <w:rsid w:val="000B779B"/>
    <w:rsid w:val="000C3651"/>
    <w:rsid w:val="000C4B5D"/>
    <w:rsid w:val="000C4C6E"/>
    <w:rsid w:val="000C722C"/>
    <w:rsid w:val="000D05CC"/>
    <w:rsid w:val="000D0844"/>
    <w:rsid w:val="000D3B17"/>
    <w:rsid w:val="000D3F96"/>
    <w:rsid w:val="000D44E7"/>
    <w:rsid w:val="000D4D00"/>
    <w:rsid w:val="000D5A9E"/>
    <w:rsid w:val="000D6716"/>
    <w:rsid w:val="000D6E7B"/>
    <w:rsid w:val="000E1D32"/>
    <w:rsid w:val="000E2C4F"/>
    <w:rsid w:val="000E350E"/>
    <w:rsid w:val="000E673F"/>
    <w:rsid w:val="000E6D92"/>
    <w:rsid w:val="000F3C03"/>
    <w:rsid w:val="000F4564"/>
    <w:rsid w:val="000F5692"/>
    <w:rsid w:val="000F5EBB"/>
    <w:rsid w:val="0010088D"/>
    <w:rsid w:val="001036FD"/>
    <w:rsid w:val="0010477F"/>
    <w:rsid w:val="00104E81"/>
    <w:rsid w:val="00105D55"/>
    <w:rsid w:val="00106327"/>
    <w:rsid w:val="001070BD"/>
    <w:rsid w:val="001103F3"/>
    <w:rsid w:val="00112356"/>
    <w:rsid w:val="00112EC7"/>
    <w:rsid w:val="001148C6"/>
    <w:rsid w:val="00120E24"/>
    <w:rsid w:val="0012149E"/>
    <w:rsid w:val="001225A5"/>
    <w:rsid w:val="00122C59"/>
    <w:rsid w:val="00122D27"/>
    <w:rsid w:val="001246FB"/>
    <w:rsid w:val="001257DF"/>
    <w:rsid w:val="00125946"/>
    <w:rsid w:val="0012647D"/>
    <w:rsid w:val="00127612"/>
    <w:rsid w:val="001307A2"/>
    <w:rsid w:val="00130F9A"/>
    <w:rsid w:val="00131823"/>
    <w:rsid w:val="00132D14"/>
    <w:rsid w:val="00132D2C"/>
    <w:rsid w:val="00134280"/>
    <w:rsid w:val="001345BB"/>
    <w:rsid w:val="00135950"/>
    <w:rsid w:val="00135E5B"/>
    <w:rsid w:val="00136A00"/>
    <w:rsid w:val="00136AB9"/>
    <w:rsid w:val="001373DF"/>
    <w:rsid w:val="00137C47"/>
    <w:rsid w:val="00141191"/>
    <w:rsid w:val="0014470D"/>
    <w:rsid w:val="00144DA5"/>
    <w:rsid w:val="00145DE6"/>
    <w:rsid w:val="00146B2E"/>
    <w:rsid w:val="00146E1E"/>
    <w:rsid w:val="001500F7"/>
    <w:rsid w:val="001512A9"/>
    <w:rsid w:val="00151B21"/>
    <w:rsid w:val="001522A1"/>
    <w:rsid w:val="001542A9"/>
    <w:rsid w:val="00154387"/>
    <w:rsid w:val="00156AE8"/>
    <w:rsid w:val="00161588"/>
    <w:rsid w:val="0016312E"/>
    <w:rsid w:val="001639B3"/>
    <w:rsid w:val="00164990"/>
    <w:rsid w:val="00165D14"/>
    <w:rsid w:val="00166764"/>
    <w:rsid w:val="00167C10"/>
    <w:rsid w:val="00171B81"/>
    <w:rsid w:val="001729AE"/>
    <w:rsid w:val="001751BE"/>
    <w:rsid w:val="001757B2"/>
    <w:rsid w:val="001770DA"/>
    <w:rsid w:val="00177757"/>
    <w:rsid w:val="001778C5"/>
    <w:rsid w:val="00180A78"/>
    <w:rsid w:val="00180F0A"/>
    <w:rsid w:val="00183939"/>
    <w:rsid w:val="00184D15"/>
    <w:rsid w:val="00185DE4"/>
    <w:rsid w:val="00185F8E"/>
    <w:rsid w:val="001901F2"/>
    <w:rsid w:val="00190248"/>
    <w:rsid w:val="00191322"/>
    <w:rsid w:val="00193F12"/>
    <w:rsid w:val="00194C06"/>
    <w:rsid w:val="00195442"/>
    <w:rsid w:val="00196469"/>
    <w:rsid w:val="0019770D"/>
    <w:rsid w:val="00197C29"/>
    <w:rsid w:val="001A1F2F"/>
    <w:rsid w:val="001A21DA"/>
    <w:rsid w:val="001A4367"/>
    <w:rsid w:val="001A6508"/>
    <w:rsid w:val="001A65F3"/>
    <w:rsid w:val="001A6BA9"/>
    <w:rsid w:val="001A6CF3"/>
    <w:rsid w:val="001A78FD"/>
    <w:rsid w:val="001A7E29"/>
    <w:rsid w:val="001B3316"/>
    <w:rsid w:val="001B4EBB"/>
    <w:rsid w:val="001B553F"/>
    <w:rsid w:val="001B5C0F"/>
    <w:rsid w:val="001C228B"/>
    <w:rsid w:val="001C2312"/>
    <w:rsid w:val="001C32C8"/>
    <w:rsid w:val="001C375C"/>
    <w:rsid w:val="001C49DF"/>
    <w:rsid w:val="001C50C8"/>
    <w:rsid w:val="001C5356"/>
    <w:rsid w:val="001C568A"/>
    <w:rsid w:val="001C7CE0"/>
    <w:rsid w:val="001D0935"/>
    <w:rsid w:val="001D0D0A"/>
    <w:rsid w:val="001D13FA"/>
    <w:rsid w:val="001D2F80"/>
    <w:rsid w:val="001D4030"/>
    <w:rsid w:val="001D5F7E"/>
    <w:rsid w:val="001D65C6"/>
    <w:rsid w:val="001D729D"/>
    <w:rsid w:val="001D7776"/>
    <w:rsid w:val="001E14B5"/>
    <w:rsid w:val="001E1966"/>
    <w:rsid w:val="001E1B2E"/>
    <w:rsid w:val="001E2ED4"/>
    <w:rsid w:val="001E308B"/>
    <w:rsid w:val="001E5578"/>
    <w:rsid w:val="001E61E8"/>
    <w:rsid w:val="001E6AC6"/>
    <w:rsid w:val="001F0014"/>
    <w:rsid w:val="001F00F6"/>
    <w:rsid w:val="001F0D9C"/>
    <w:rsid w:val="001F33CF"/>
    <w:rsid w:val="001F345D"/>
    <w:rsid w:val="001F34C8"/>
    <w:rsid w:val="001F3538"/>
    <w:rsid w:val="001F4787"/>
    <w:rsid w:val="001F58C9"/>
    <w:rsid w:val="001F5A73"/>
    <w:rsid w:val="001F680C"/>
    <w:rsid w:val="0020067B"/>
    <w:rsid w:val="00200E4E"/>
    <w:rsid w:val="002020C8"/>
    <w:rsid w:val="002034C6"/>
    <w:rsid w:val="00203607"/>
    <w:rsid w:val="00204F45"/>
    <w:rsid w:val="00205E40"/>
    <w:rsid w:val="0020790F"/>
    <w:rsid w:val="00207C6D"/>
    <w:rsid w:val="00207E55"/>
    <w:rsid w:val="0021097A"/>
    <w:rsid w:val="00210CAE"/>
    <w:rsid w:val="0021124B"/>
    <w:rsid w:val="00211B7B"/>
    <w:rsid w:val="00213CC3"/>
    <w:rsid w:val="00214894"/>
    <w:rsid w:val="00216594"/>
    <w:rsid w:val="0021670F"/>
    <w:rsid w:val="0022026C"/>
    <w:rsid w:val="00221119"/>
    <w:rsid w:val="0022150F"/>
    <w:rsid w:val="002221A7"/>
    <w:rsid w:val="00222EA9"/>
    <w:rsid w:val="002234D5"/>
    <w:rsid w:val="002267CF"/>
    <w:rsid w:val="00226ED5"/>
    <w:rsid w:val="00227F79"/>
    <w:rsid w:val="00230762"/>
    <w:rsid w:val="002315EE"/>
    <w:rsid w:val="002336E0"/>
    <w:rsid w:val="0023384D"/>
    <w:rsid w:val="00233D43"/>
    <w:rsid w:val="00235FC3"/>
    <w:rsid w:val="0023611B"/>
    <w:rsid w:val="00237196"/>
    <w:rsid w:val="0024108A"/>
    <w:rsid w:val="00241590"/>
    <w:rsid w:val="002421D9"/>
    <w:rsid w:val="00243E14"/>
    <w:rsid w:val="00243F9B"/>
    <w:rsid w:val="0024535B"/>
    <w:rsid w:val="002459E8"/>
    <w:rsid w:val="00250F95"/>
    <w:rsid w:val="002523BC"/>
    <w:rsid w:val="00252776"/>
    <w:rsid w:val="00252FCC"/>
    <w:rsid w:val="00253916"/>
    <w:rsid w:val="00254CBC"/>
    <w:rsid w:val="00256F6D"/>
    <w:rsid w:val="00257522"/>
    <w:rsid w:val="002605F5"/>
    <w:rsid w:val="00262366"/>
    <w:rsid w:val="00265503"/>
    <w:rsid w:val="00265DCE"/>
    <w:rsid w:val="00266DA3"/>
    <w:rsid w:val="002738AD"/>
    <w:rsid w:val="002751AC"/>
    <w:rsid w:val="00275C09"/>
    <w:rsid w:val="00276496"/>
    <w:rsid w:val="00276E33"/>
    <w:rsid w:val="002811E7"/>
    <w:rsid w:val="00281378"/>
    <w:rsid w:val="00284247"/>
    <w:rsid w:val="002844E3"/>
    <w:rsid w:val="0028450A"/>
    <w:rsid w:val="00284684"/>
    <w:rsid w:val="00286A8D"/>
    <w:rsid w:val="00286B32"/>
    <w:rsid w:val="00287A54"/>
    <w:rsid w:val="002902CD"/>
    <w:rsid w:val="002904F6"/>
    <w:rsid w:val="00290661"/>
    <w:rsid w:val="00290A3F"/>
    <w:rsid w:val="00291165"/>
    <w:rsid w:val="00291B3F"/>
    <w:rsid w:val="00293529"/>
    <w:rsid w:val="002938DE"/>
    <w:rsid w:val="002941F5"/>
    <w:rsid w:val="0029639D"/>
    <w:rsid w:val="002970FA"/>
    <w:rsid w:val="00297B16"/>
    <w:rsid w:val="002A2BD9"/>
    <w:rsid w:val="002A2D51"/>
    <w:rsid w:val="002A2DB1"/>
    <w:rsid w:val="002A5152"/>
    <w:rsid w:val="002A7756"/>
    <w:rsid w:val="002B1D17"/>
    <w:rsid w:val="002B2A24"/>
    <w:rsid w:val="002B2F11"/>
    <w:rsid w:val="002B3054"/>
    <w:rsid w:val="002B51F9"/>
    <w:rsid w:val="002C2307"/>
    <w:rsid w:val="002C302E"/>
    <w:rsid w:val="002C3E00"/>
    <w:rsid w:val="002C415A"/>
    <w:rsid w:val="002C535A"/>
    <w:rsid w:val="002D0C5B"/>
    <w:rsid w:val="002D2175"/>
    <w:rsid w:val="002D40EC"/>
    <w:rsid w:val="002D5120"/>
    <w:rsid w:val="002D563B"/>
    <w:rsid w:val="002D5C80"/>
    <w:rsid w:val="002D6F28"/>
    <w:rsid w:val="002E0A99"/>
    <w:rsid w:val="002E0AA1"/>
    <w:rsid w:val="002E0DDD"/>
    <w:rsid w:val="002E1751"/>
    <w:rsid w:val="002E1930"/>
    <w:rsid w:val="002E19A4"/>
    <w:rsid w:val="002E3773"/>
    <w:rsid w:val="002E3AEB"/>
    <w:rsid w:val="002E3C94"/>
    <w:rsid w:val="002E5776"/>
    <w:rsid w:val="002E7837"/>
    <w:rsid w:val="002F051D"/>
    <w:rsid w:val="002F062D"/>
    <w:rsid w:val="002F0B10"/>
    <w:rsid w:val="002F1E01"/>
    <w:rsid w:val="002F29E5"/>
    <w:rsid w:val="002F3872"/>
    <w:rsid w:val="002F39B6"/>
    <w:rsid w:val="002F3B86"/>
    <w:rsid w:val="002F4C77"/>
    <w:rsid w:val="002F58C2"/>
    <w:rsid w:val="002F7483"/>
    <w:rsid w:val="002F76B4"/>
    <w:rsid w:val="00300141"/>
    <w:rsid w:val="00301BC8"/>
    <w:rsid w:val="003026CB"/>
    <w:rsid w:val="003037E4"/>
    <w:rsid w:val="0030756A"/>
    <w:rsid w:val="003141B0"/>
    <w:rsid w:val="0031475E"/>
    <w:rsid w:val="00315754"/>
    <w:rsid w:val="003158CD"/>
    <w:rsid w:val="00316ABB"/>
    <w:rsid w:val="00316BBA"/>
    <w:rsid w:val="003176D0"/>
    <w:rsid w:val="003212A9"/>
    <w:rsid w:val="00321F33"/>
    <w:rsid w:val="00323301"/>
    <w:rsid w:val="00323838"/>
    <w:rsid w:val="00323BB4"/>
    <w:rsid w:val="00323D25"/>
    <w:rsid w:val="0032481F"/>
    <w:rsid w:val="00324A42"/>
    <w:rsid w:val="00324ED9"/>
    <w:rsid w:val="0032539E"/>
    <w:rsid w:val="003256B3"/>
    <w:rsid w:val="003313A5"/>
    <w:rsid w:val="003320C2"/>
    <w:rsid w:val="0033236A"/>
    <w:rsid w:val="00332A30"/>
    <w:rsid w:val="00334F18"/>
    <w:rsid w:val="0033550F"/>
    <w:rsid w:val="003357A5"/>
    <w:rsid w:val="0033627B"/>
    <w:rsid w:val="00336822"/>
    <w:rsid w:val="00336FCC"/>
    <w:rsid w:val="0033777D"/>
    <w:rsid w:val="0034161A"/>
    <w:rsid w:val="003424D3"/>
    <w:rsid w:val="00342D15"/>
    <w:rsid w:val="00342EB7"/>
    <w:rsid w:val="003433D0"/>
    <w:rsid w:val="0034349B"/>
    <w:rsid w:val="00347427"/>
    <w:rsid w:val="00347BB3"/>
    <w:rsid w:val="00350098"/>
    <w:rsid w:val="00351593"/>
    <w:rsid w:val="00352681"/>
    <w:rsid w:val="00352C9C"/>
    <w:rsid w:val="0035403A"/>
    <w:rsid w:val="00360265"/>
    <w:rsid w:val="0036034B"/>
    <w:rsid w:val="00360C4E"/>
    <w:rsid w:val="00360DA6"/>
    <w:rsid w:val="003610AE"/>
    <w:rsid w:val="00361E33"/>
    <w:rsid w:val="0036615C"/>
    <w:rsid w:val="00370E03"/>
    <w:rsid w:val="0037281E"/>
    <w:rsid w:val="00374770"/>
    <w:rsid w:val="0037534B"/>
    <w:rsid w:val="00375DDD"/>
    <w:rsid w:val="0037631E"/>
    <w:rsid w:val="003767A4"/>
    <w:rsid w:val="00377022"/>
    <w:rsid w:val="00377ADD"/>
    <w:rsid w:val="00377BF0"/>
    <w:rsid w:val="003825C1"/>
    <w:rsid w:val="0038279C"/>
    <w:rsid w:val="00382FDD"/>
    <w:rsid w:val="0038342B"/>
    <w:rsid w:val="00383C27"/>
    <w:rsid w:val="00384147"/>
    <w:rsid w:val="00384AA5"/>
    <w:rsid w:val="00385F08"/>
    <w:rsid w:val="00386F59"/>
    <w:rsid w:val="003901F2"/>
    <w:rsid w:val="003931E3"/>
    <w:rsid w:val="00393849"/>
    <w:rsid w:val="0039427D"/>
    <w:rsid w:val="00394350"/>
    <w:rsid w:val="00394448"/>
    <w:rsid w:val="0039592D"/>
    <w:rsid w:val="00395A5A"/>
    <w:rsid w:val="0039625D"/>
    <w:rsid w:val="003A0457"/>
    <w:rsid w:val="003A189A"/>
    <w:rsid w:val="003A378D"/>
    <w:rsid w:val="003A4414"/>
    <w:rsid w:val="003A4E5B"/>
    <w:rsid w:val="003A546B"/>
    <w:rsid w:val="003A6C50"/>
    <w:rsid w:val="003A6F8E"/>
    <w:rsid w:val="003B0225"/>
    <w:rsid w:val="003B1BFA"/>
    <w:rsid w:val="003B1FBC"/>
    <w:rsid w:val="003B2AA0"/>
    <w:rsid w:val="003B77D2"/>
    <w:rsid w:val="003B7CBF"/>
    <w:rsid w:val="003C1677"/>
    <w:rsid w:val="003C204C"/>
    <w:rsid w:val="003C4650"/>
    <w:rsid w:val="003C5A81"/>
    <w:rsid w:val="003D0D9F"/>
    <w:rsid w:val="003D0F23"/>
    <w:rsid w:val="003D1383"/>
    <w:rsid w:val="003D1485"/>
    <w:rsid w:val="003D33BD"/>
    <w:rsid w:val="003D3F7E"/>
    <w:rsid w:val="003D4895"/>
    <w:rsid w:val="003D7835"/>
    <w:rsid w:val="003E0311"/>
    <w:rsid w:val="003E11BF"/>
    <w:rsid w:val="003E15DA"/>
    <w:rsid w:val="003E3731"/>
    <w:rsid w:val="003E3A57"/>
    <w:rsid w:val="003E3C17"/>
    <w:rsid w:val="003E51F4"/>
    <w:rsid w:val="003E5603"/>
    <w:rsid w:val="003E5674"/>
    <w:rsid w:val="003E6089"/>
    <w:rsid w:val="003F0024"/>
    <w:rsid w:val="003F1229"/>
    <w:rsid w:val="003F2A2D"/>
    <w:rsid w:val="003F377B"/>
    <w:rsid w:val="003F3FD1"/>
    <w:rsid w:val="003F5287"/>
    <w:rsid w:val="003F7474"/>
    <w:rsid w:val="00400472"/>
    <w:rsid w:val="0040069F"/>
    <w:rsid w:val="004019A5"/>
    <w:rsid w:val="00402943"/>
    <w:rsid w:val="004032C6"/>
    <w:rsid w:val="004038CA"/>
    <w:rsid w:val="00403A99"/>
    <w:rsid w:val="004044D1"/>
    <w:rsid w:val="0040460A"/>
    <w:rsid w:val="004051BE"/>
    <w:rsid w:val="00407580"/>
    <w:rsid w:val="00410977"/>
    <w:rsid w:val="0041246E"/>
    <w:rsid w:val="00412AC9"/>
    <w:rsid w:val="00412EBF"/>
    <w:rsid w:val="0041392E"/>
    <w:rsid w:val="0041497A"/>
    <w:rsid w:val="0041545B"/>
    <w:rsid w:val="0041755B"/>
    <w:rsid w:val="004175B6"/>
    <w:rsid w:val="00417B31"/>
    <w:rsid w:val="00421E82"/>
    <w:rsid w:val="00425A1B"/>
    <w:rsid w:val="00426BFD"/>
    <w:rsid w:val="00430069"/>
    <w:rsid w:val="0043013C"/>
    <w:rsid w:val="004303A7"/>
    <w:rsid w:val="00431598"/>
    <w:rsid w:val="004317CD"/>
    <w:rsid w:val="004321F6"/>
    <w:rsid w:val="0043258B"/>
    <w:rsid w:val="00432D78"/>
    <w:rsid w:val="0043482A"/>
    <w:rsid w:val="004352D3"/>
    <w:rsid w:val="0043604D"/>
    <w:rsid w:val="00437FC9"/>
    <w:rsid w:val="00441D6D"/>
    <w:rsid w:val="0044261B"/>
    <w:rsid w:val="004448A9"/>
    <w:rsid w:val="0044511C"/>
    <w:rsid w:val="00447586"/>
    <w:rsid w:val="00447594"/>
    <w:rsid w:val="00447770"/>
    <w:rsid w:val="004527BA"/>
    <w:rsid w:val="00453F20"/>
    <w:rsid w:val="0045427C"/>
    <w:rsid w:val="00454A02"/>
    <w:rsid w:val="00455573"/>
    <w:rsid w:val="00455646"/>
    <w:rsid w:val="00456B04"/>
    <w:rsid w:val="00457693"/>
    <w:rsid w:val="0046032C"/>
    <w:rsid w:val="00460834"/>
    <w:rsid w:val="00461A89"/>
    <w:rsid w:val="00463298"/>
    <w:rsid w:val="00465021"/>
    <w:rsid w:val="004655A7"/>
    <w:rsid w:val="00465C66"/>
    <w:rsid w:val="004672D3"/>
    <w:rsid w:val="00467D73"/>
    <w:rsid w:val="00471583"/>
    <w:rsid w:val="00471C05"/>
    <w:rsid w:val="0047308C"/>
    <w:rsid w:val="0047418C"/>
    <w:rsid w:val="00476499"/>
    <w:rsid w:val="0047766A"/>
    <w:rsid w:val="00477939"/>
    <w:rsid w:val="00481E3E"/>
    <w:rsid w:val="00484118"/>
    <w:rsid w:val="00486056"/>
    <w:rsid w:val="00486AB0"/>
    <w:rsid w:val="0049020E"/>
    <w:rsid w:val="00490B51"/>
    <w:rsid w:val="00490FD8"/>
    <w:rsid w:val="00491773"/>
    <w:rsid w:val="004921FB"/>
    <w:rsid w:val="00492AC8"/>
    <w:rsid w:val="004936D4"/>
    <w:rsid w:val="00496C56"/>
    <w:rsid w:val="0049734B"/>
    <w:rsid w:val="00497650"/>
    <w:rsid w:val="00497E86"/>
    <w:rsid w:val="004A054F"/>
    <w:rsid w:val="004A14FC"/>
    <w:rsid w:val="004A1B4E"/>
    <w:rsid w:val="004A2933"/>
    <w:rsid w:val="004A3194"/>
    <w:rsid w:val="004B306E"/>
    <w:rsid w:val="004B3674"/>
    <w:rsid w:val="004B45A2"/>
    <w:rsid w:val="004B67D6"/>
    <w:rsid w:val="004B6E99"/>
    <w:rsid w:val="004B6F89"/>
    <w:rsid w:val="004B7897"/>
    <w:rsid w:val="004B7C1A"/>
    <w:rsid w:val="004C1289"/>
    <w:rsid w:val="004C4880"/>
    <w:rsid w:val="004C52E0"/>
    <w:rsid w:val="004C6DFA"/>
    <w:rsid w:val="004D0CEC"/>
    <w:rsid w:val="004D1C81"/>
    <w:rsid w:val="004D1E01"/>
    <w:rsid w:val="004D1ECF"/>
    <w:rsid w:val="004D36D3"/>
    <w:rsid w:val="004D390C"/>
    <w:rsid w:val="004D452C"/>
    <w:rsid w:val="004D4931"/>
    <w:rsid w:val="004D4C22"/>
    <w:rsid w:val="004D5460"/>
    <w:rsid w:val="004D6D66"/>
    <w:rsid w:val="004E0961"/>
    <w:rsid w:val="004E10C1"/>
    <w:rsid w:val="004E162C"/>
    <w:rsid w:val="004E1719"/>
    <w:rsid w:val="004E4542"/>
    <w:rsid w:val="004E5381"/>
    <w:rsid w:val="004E7E1C"/>
    <w:rsid w:val="004F06BD"/>
    <w:rsid w:val="004F502C"/>
    <w:rsid w:val="004F56F0"/>
    <w:rsid w:val="004F7050"/>
    <w:rsid w:val="0050242D"/>
    <w:rsid w:val="005035DE"/>
    <w:rsid w:val="00503B0C"/>
    <w:rsid w:val="005059E0"/>
    <w:rsid w:val="005075E6"/>
    <w:rsid w:val="005102BC"/>
    <w:rsid w:val="00514178"/>
    <w:rsid w:val="0051431E"/>
    <w:rsid w:val="00516EDB"/>
    <w:rsid w:val="00516F3B"/>
    <w:rsid w:val="00517573"/>
    <w:rsid w:val="00520B3A"/>
    <w:rsid w:val="00520D82"/>
    <w:rsid w:val="00523C0F"/>
    <w:rsid w:val="0052607A"/>
    <w:rsid w:val="00526217"/>
    <w:rsid w:val="00526E2B"/>
    <w:rsid w:val="00527092"/>
    <w:rsid w:val="00530292"/>
    <w:rsid w:val="00530BBB"/>
    <w:rsid w:val="00530EFF"/>
    <w:rsid w:val="00530FD8"/>
    <w:rsid w:val="00531984"/>
    <w:rsid w:val="00535100"/>
    <w:rsid w:val="00535377"/>
    <w:rsid w:val="005358C6"/>
    <w:rsid w:val="0053600C"/>
    <w:rsid w:val="00536255"/>
    <w:rsid w:val="00536B6B"/>
    <w:rsid w:val="00537D62"/>
    <w:rsid w:val="005441B0"/>
    <w:rsid w:val="0054591E"/>
    <w:rsid w:val="0054672F"/>
    <w:rsid w:val="005471FE"/>
    <w:rsid w:val="0054782E"/>
    <w:rsid w:val="00550FF0"/>
    <w:rsid w:val="0055139E"/>
    <w:rsid w:val="005536C4"/>
    <w:rsid w:val="00553A42"/>
    <w:rsid w:val="00553D1C"/>
    <w:rsid w:val="00560BFE"/>
    <w:rsid w:val="005610E2"/>
    <w:rsid w:val="00563A45"/>
    <w:rsid w:val="00567900"/>
    <w:rsid w:val="00567D56"/>
    <w:rsid w:val="00574373"/>
    <w:rsid w:val="00575945"/>
    <w:rsid w:val="00576C0F"/>
    <w:rsid w:val="00580D63"/>
    <w:rsid w:val="005814BA"/>
    <w:rsid w:val="005819C4"/>
    <w:rsid w:val="00585453"/>
    <w:rsid w:val="00591E95"/>
    <w:rsid w:val="00592DAA"/>
    <w:rsid w:val="00595EE9"/>
    <w:rsid w:val="005960A4"/>
    <w:rsid w:val="005965EE"/>
    <w:rsid w:val="005A1472"/>
    <w:rsid w:val="005A1793"/>
    <w:rsid w:val="005A6093"/>
    <w:rsid w:val="005A72E3"/>
    <w:rsid w:val="005B1EE8"/>
    <w:rsid w:val="005B2B05"/>
    <w:rsid w:val="005B5E53"/>
    <w:rsid w:val="005C30E5"/>
    <w:rsid w:val="005C43CD"/>
    <w:rsid w:val="005C597B"/>
    <w:rsid w:val="005C5C29"/>
    <w:rsid w:val="005C5F91"/>
    <w:rsid w:val="005C6085"/>
    <w:rsid w:val="005C6FAE"/>
    <w:rsid w:val="005C7C8B"/>
    <w:rsid w:val="005D0077"/>
    <w:rsid w:val="005D258A"/>
    <w:rsid w:val="005D331B"/>
    <w:rsid w:val="005D3AC7"/>
    <w:rsid w:val="005D43FA"/>
    <w:rsid w:val="005D4824"/>
    <w:rsid w:val="005D5150"/>
    <w:rsid w:val="005D618F"/>
    <w:rsid w:val="005D65D0"/>
    <w:rsid w:val="005D6E73"/>
    <w:rsid w:val="005E1360"/>
    <w:rsid w:val="005E1C60"/>
    <w:rsid w:val="005E1DC6"/>
    <w:rsid w:val="005E34DF"/>
    <w:rsid w:val="005E5002"/>
    <w:rsid w:val="005E602A"/>
    <w:rsid w:val="005E70AB"/>
    <w:rsid w:val="005E70C0"/>
    <w:rsid w:val="005E7EFF"/>
    <w:rsid w:val="005F0F8A"/>
    <w:rsid w:val="005F166E"/>
    <w:rsid w:val="005F19D0"/>
    <w:rsid w:val="005F2166"/>
    <w:rsid w:val="00600C5C"/>
    <w:rsid w:val="00602850"/>
    <w:rsid w:val="006042B2"/>
    <w:rsid w:val="0060626F"/>
    <w:rsid w:val="00606E33"/>
    <w:rsid w:val="006072EB"/>
    <w:rsid w:val="00607C3A"/>
    <w:rsid w:val="00612B31"/>
    <w:rsid w:val="00613CCB"/>
    <w:rsid w:val="00613E7B"/>
    <w:rsid w:val="00614ADC"/>
    <w:rsid w:val="006157DB"/>
    <w:rsid w:val="00615CB6"/>
    <w:rsid w:val="00616C34"/>
    <w:rsid w:val="00617E9C"/>
    <w:rsid w:val="00620218"/>
    <w:rsid w:val="0062118D"/>
    <w:rsid w:val="006237E0"/>
    <w:rsid w:val="00624741"/>
    <w:rsid w:val="006318FE"/>
    <w:rsid w:val="00632832"/>
    <w:rsid w:val="00632B03"/>
    <w:rsid w:val="00634A47"/>
    <w:rsid w:val="006358CB"/>
    <w:rsid w:val="006363EA"/>
    <w:rsid w:val="0063784E"/>
    <w:rsid w:val="00637A65"/>
    <w:rsid w:val="00637E71"/>
    <w:rsid w:val="00640553"/>
    <w:rsid w:val="00640F49"/>
    <w:rsid w:val="00641CFC"/>
    <w:rsid w:val="00641EF8"/>
    <w:rsid w:val="00642E06"/>
    <w:rsid w:val="00650164"/>
    <w:rsid w:val="00650DB2"/>
    <w:rsid w:val="00651686"/>
    <w:rsid w:val="00653572"/>
    <w:rsid w:val="00653FB4"/>
    <w:rsid w:val="0065409C"/>
    <w:rsid w:val="00654CEB"/>
    <w:rsid w:val="00655277"/>
    <w:rsid w:val="006564F6"/>
    <w:rsid w:val="00660786"/>
    <w:rsid w:val="006613FE"/>
    <w:rsid w:val="00662AC6"/>
    <w:rsid w:val="00663082"/>
    <w:rsid w:val="00664A08"/>
    <w:rsid w:val="00664ABB"/>
    <w:rsid w:val="00665A7E"/>
    <w:rsid w:val="00665AC9"/>
    <w:rsid w:val="00665B1C"/>
    <w:rsid w:val="006667F1"/>
    <w:rsid w:val="00666EAE"/>
    <w:rsid w:val="00667C71"/>
    <w:rsid w:val="0067068E"/>
    <w:rsid w:val="00672AA4"/>
    <w:rsid w:val="00672BA0"/>
    <w:rsid w:val="006742C6"/>
    <w:rsid w:val="00674882"/>
    <w:rsid w:val="006778EB"/>
    <w:rsid w:val="00680252"/>
    <w:rsid w:val="006809E9"/>
    <w:rsid w:val="006830B9"/>
    <w:rsid w:val="00683B69"/>
    <w:rsid w:val="00683E86"/>
    <w:rsid w:val="00684B46"/>
    <w:rsid w:val="0068516C"/>
    <w:rsid w:val="00687FF6"/>
    <w:rsid w:val="0069055B"/>
    <w:rsid w:val="00691F16"/>
    <w:rsid w:val="0069402A"/>
    <w:rsid w:val="00694A57"/>
    <w:rsid w:val="006952C8"/>
    <w:rsid w:val="00696D96"/>
    <w:rsid w:val="00696F82"/>
    <w:rsid w:val="006971A4"/>
    <w:rsid w:val="006977A1"/>
    <w:rsid w:val="00697A34"/>
    <w:rsid w:val="006A0BED"/>
    <w:rsid w:val="006A2F99"/>
    <w:rsid w:val="006A341C"/>
    <w:rsid w:val="006A3A0B"/>
    <w:rsid w:val="006A5270"/>
    <w:rsid w:val="006A5595"/>
    <w:rsid w:val="006A699F"/>
    <w:rsid w:val="006B0773"/>
    <w:rsid w:val="006B0BBF"/>
    <w:rsid w:val="006B1A55"/>
    <w:rsid w:val="006B3897"/>
    <w:rsid w:val="006B43C3"/>
    <w:rsid w:val="006B4648"/>
    <w:rsid w:val="006B4FEE"/>
    <w:rsid w:val="006B5570"/>
    <w:rsid w:val="006B6055"/>
    <w:rsid w:val="006B6E1F"/>
    <w:rsid w:val="006B6F86"/>
    <w:rsid w:val="006C1D99"/>
    <w:rsid w:val="006C1F74"/>
    <w:rsid w:val="006C214A"/>
    <w:rsid w:val="006C4864"/>
    <w:rsid w:val="006C61A3"/>
    <w:rsid w:val="006C655C"/>
    <w:rsid w:val="006C6E7C"/>
    <w:rsid w:val="006C741D"/>
    <w:rsid w:val="006C7AD2"/>
    <w:rsid w:val="006D017F"/>
    <w:rsid w:val="006D0634"/>
    <w:rsid w:val="006D1488"/>
    <w:rsid w:val="006D1B18"/>
    <w:rsid w:val="006D3EF5"/>
    <w:rsid w:val="006D4190"/>
    <w:rsid w:val="006D4C2A"/>
    <w:rsid w:val="006D4F34"/>
    <w:rsid w:val="006D779F"/>
    <w:rsid w:val="006E2216"/>
    <w:rsid w:val="006E5B56"/>
    <w:rsid w:val="006E5F66"/>
    <w:rsid w:val="006E64BF"/>
    <w:rsid w:val="006E6DC8"/>
    <w:rsid w:val="006F1609"/>
    <w:rsid w:val="006F2EDF"/>
    <w:rsid w:val="006F421D"/>
    <w:rsid w:val="006F435E"/>
    <w:rsid w:val="006F642B"/>
    <w:rsid w:val="006F65D3"/>
    <w:rsid w:val="006F6B99"/>
    <w:rsid w:val="00700098"/>
    <w:rsid w:val="00700A7F"/>
    <w:rsid w:val="00702317"/>
    <w:rsid w:val="00702717"/>
    <w:rsid w:val="00702F24"/>
    <w:rsid w:val="0070330A"/>
    <w:rsid w:val="00703C59"/>
    <w:rsid w:val="007051F6"/>
    <w:rsid w:val="00706B3F"/>
    <w:rsid w:val="00710172"/>
    <w:rsid w:val="0071445A"/>
    <w:rsid w:val="007146CD"/>
    <w:rsid w:val="00714CBD"/>
    <w:rsid w:val="00714DD1"/>
    <w:rsid w:val="00715FDA"/>
    <w:rsid w:val="0071698A"/>
    <w:rsid w:val="00717E08"/>
    <w:rsid w:val="00720E39"/>
    <w:rsid w:val="0072222D"/>
    <w:rsid w:val="0072407B"/>
    <w:rsid w:val="00724BC6"/>
    <w:rsid w:val="00724E85"/>
    <w:rsid w:val="0072794A"/>
    <w:rsid w:val="00727A0D"/>
    <w:rsid w:val="00727E89"/>
    <w:rsid w:val="00727F54"/>
    <w:rsid w:val="00730FD9"/>
    <w:rsid w:val="00732221"/>
    <w:rsid w:val="007362F5"/>
    <w:rsid w:val="00737028"/>
    <w:rsid w:val="00737BF6"/>
    <w:rsid w:val="00740C54"/>
    <w:rsid w:val="007436D1"/>
    <w:rsid w:val="0074614C"/>
    <w:rsid w:val="007461EA"/>
    <w:rsid w:val="0075077C"/>
    <w:rsid w:val="00751141"/>
    <w:rsid w:val="007512DF"/>
    <w:rsid w:val="00753FC2"/>
    <w:rsid w:val="00754E65"/>
    <w:rsid w:val="00756E50"/>
    <w:rsid w:val="007578D1"/>
    <w:rsid w:val="007579B7"/>
    <w:rsid w:val="00761081"/>
    <w:rsid w:val="007640FE"/>
    <w:rsid w:val="00765074"/>
    <w:rsid w:val="00765265"/>
    <w:rsid w:val="00765BD6"/>
    <w:rsid w:val="00767571"/>
    <w:rsid w:val="00767B44"/>
    <w:rsid w:val="0077123E"/>
    <w:rsid w:val="00772461"/>
    <w:rsid w:val="00773715"/>
    <w:rsid w:val="00774E2E"/>
    <w:rsid w:val="00776023"/>
    <w:rsid w:val="00777917"/>
    <w:rsid w:val="00777CD1"/>
    <w:rsid w:val="007838B4"/>
    <w:rsid w:val="0078417B"/>
    <w:rsid w:val="0078689D"/>
    <w:rsid w:val="0078724E"/>
    <w:rsid w:val="007930F9"/>
    <w:rsid w:val="00793E7C"/>
    <w:rsid w:val="00794CC7"/>
    <w:rsid w:val="00794F7E"/>
    <w:rsid w:val="00795EF7"/>
    <w:rsid w:val="00795F72"/>
    <w:rsid w:val="00796952"/>
    <w:rsid w:val="007A2FE0"/>
    <w:rsid w:val="007A33AD"/>
    <w:rsid w:val="007A440B"/>
    <w:rsid w:val="007A4CE2"/>
    <w:rsid w:val="007A56D9"/>
    <w:rsid w:val="007A6625"/>
    <w:rsid w:val="007A7822"/>
    <w:rsid w:val="007B155A"/>
    <w:rsid w:val="007B2CDB"/>
    <w:rsid w:val="007B2EE4"/>
    <w:rsid w:val="007B353A"/>
    <w:rsid w:val="007B57C8"/>
    <w:rsid w:val="007B5F23"/>
    <w:rsid w:val="007B61A7"/>
    <w:rsid w:val="007B61F3"/>
    <w:rsid w:val="007B6A02"/>
    <w:rsid w:val="007B743F"/>
    <w:rsid w:val="007C0097"/>
    <w:rsid w:val="007C0221"/>
    <w:rsid w:val="007C1138"/>
    <w:rsid w:val="007C2534"/>
    <w:rsid w:val="007C2D64"/>
    <w:rsid w:val="007C39DC"/>
    <w:rsid w:val="007C3B1E"/>
    <w:rsid w:val="007D0A6A"/>
    <w:rsid w:val="007D2851"/>
    <w:rsid w:val="007D5074"/>
    <w:rsid w:val="007D6E1F"/>
    <w:rsid w:val="007D745A"/>
    <w:rsid w:val="007D7EDD"/>
    <w:rsid w:val="007E13DA"/>
    <w:rsid w:val="007E4B40"/>
    <w:rsid w:val="007E4C07"/>
    <w:rsid w:val="007F0115"/>
    <w:rsid w:val="007F0169"/>
    <w:rsid w:val="007F224C"/>
    <w:rsid w:val="007F289B"/>
    <w:rsid w:val="007F290C"/>
    <w:rsid w:val="007F4067"/>
    <w:rsid w:val="007F5750"/>
    <w:rsid w:val="007F6867"/>
    <w:rsid w:val="0080101B"/>
    <w:rsid w:val="0080155C"/>
    <w:rsid w:val="00802992"/>
    <w:rsid w:val="00803312"/>
    <w:rsid w:val="008035DE"/>
    <w:rsid w:val="00803B07"/>
    <w:rsid w:val="008075F5"/>
    <w:rsid w:val="00810E39"/>
    <w:rsid w:val="00811192"/>
    <w:rsid w:val="00811884"/>
    <w:rsid w:val="008154A9"/>
    <w:rsid w:val="008170AF"/>
    <w:rsid w:val="00820782"/>
    <w:rsid w:val="00820B42"/>
    <w:rsid w:val="00821A28"/>
    <w:rsid w:val="00823173"/>
    <w:rsid w:val="00823B6B"/>
    <w:rsid w:val="00823E04"/>
    <w:rsid w:val="008243B3"/>
    <w:rsid w:val="00826C7E"/>
    <w:rsid w:val="008271AF"/>
    <w:rsid w:val="008275C6"/>
    <w:rsid w:val="008302F9"/>
    <w:rsid w:val="008308C1"/>
    <w:rsid w:val="00830F67"/>
    <w:rsid w:val="00832043"/>
    <w:rsid w:val="00832C58"/>
    <w:rsid w:val="00832F0E"/>
    <w:rsid w:val="0083375C"/>
    <w:rsid w:val="0083434F"/>
    <w:rsid w:val="0083510A"/>
    <w:rsid w:val="008357D8"/>
    <w:rsid w:val="00835BF9"/>
    <w:rsid w:val="00837869"/>
    <w:rsid w:val="00840E10"/>
    <w:rsid w:val="00841C1A"/>
    <w:rsid w:val="00842494"/>
    <w:rsid w:val="00843AC2"/>
    <w:rsid w:val="0084748A"/>
    <w:rsid w:val="008476A7"/>
    <w:rsid w:val="008477D8"/>
    <w:rsid w:val="00847E34"/>
    <w:rsid w:val="0085039E"/>
    <w:rsid w:val="00852614"/>
    <w:rsid w:val="00854BDE"/>
    <w:rsid w:val="00856108"/>
    <w:rsid w:val="008567E1"/>
    <w:rsid w:val="0085688D"/>
    <w:rsid w:val="00856B08"/>
    <w:rsid w:val="00857EAC"/>
    <w:rsid w:val="00860C52"/>
    <w:rsid w:val="00862662"/>
    <w:rsid w:val="00867F9D"/>
    <w:rsid w:val="00870E5E"/>
    <w:rsid w:val="008721D4"/>
    <w:rsid w:val="00872932"/>
    <w:rsid w:val="008730ED"/>
    <w:rsid w:val="00875FCD"/>
    <w:rsid w:val="00876E10"/>
    <w:rsid w:val="00880C70"/>
    <w:rsid w:val="00880C9C"/>
    <w:rsid w:val="00880F4F"/>
    <w:rsid w:val="00881291"/>
    <w:rsid w:val="00881763"/>
    <w:rsid w:val="0088277D"/>
    <w:rsid w:val="00883C1B"/>
    <w:rsid w:val="0088431C"/>
    <w:rsid w:val="00884A18"/>
    <w:rsid w:val="00887016"/>
    <w:rsid w:val="00890093"/>
    <w:rsid w:val="00890810"/>
    <w:rsid w:val="00891A12"/>
    <w:rsid w:val="00891D07"/>
    <w:rsid w:val="00893D7E"/>
    <w:rsid w:val="00895060"/>
    <w:rsid w:val="00895484"/>
    <w:rsid w:val="00895A04"/>
    <w:rsid w:val="008979AE"/>
    <w:rsid w:val="008A101B"/>
    <w:rsid w:val="008A112F"/>
    <w:rsid w:val="008A1B3C"/>
    <w:rsid w:val="008A1E55"/>
    <w:rsid w:val="008A22E2"/>
    <w:rsid w:val="008A22F7"/>
    <w:rsid w:val="008A51E3"/>
    <w:rsid w:val="008A779D"/>
    <w:rsid w:val="008A7F3C"/>
    <w:rsid w:val="008B11ED"/>
    <w:rsid w:val="008B2BFB"/>
    <w:rsid w:val="008B3019"/>
    <w:rsid w:val="008B4571"/>
    <w:rsid w:val="008B45B4"/>
    <w:rsid w:val="008B4C8D"/>
    <w:rsid w:val="008B5683"/>
    <w:rsid w:val="008B5DC2"/>
    <w:rsid w:val="008B682D"/>
    <w:rsid w:val="008B776E"/>
    <w:rsid w:val="008C38B2"/>
    <w:rsid w:val="008C4E95"/>
    <w:rsid w:val="008C5341"/>
    <w:rsid w:val="008C65BC"/>
    <w:rsid w:val="008C6BA2"/>
    <w:rsid w:val="008C7A85"/>
    <w:rsid w:val="008D08D4"/>
    <w:rsid w:val="008D0DE2"/>
    <w:rsid w:val="008D2776"/>
    <w:rsid w:val="008D2F59"/>
    <w:rsid w:val="008D5951"/>
    <w:rsid w:val="008E0497"/>
    <w:rsid w:val="008E08FA"/>
    <w:rsid w:val="008E0EEE"/>
    <w:rsid w:val="008E169F"/>
    <w:rsid w:val="008E1D94"/>
    <w:rsid w:val="008E26AB"/>
    <w:rsid w:val="008E2A04"/>
    <w:rsid w:val="008E5D4F"/>
    <w:rsid w:val="008E6362"/>
    <w:rsid w:val="008F09F9"/>
    <w:rsid w:val="008F36F4"/>
    <w:rsid w:val="008F4201"/>
    <w:rsid w:val="008F4779"/>
    <w:rsid w:val="008F54AD"/>
    <w:rsid w:val="00900A30"/>
    <w:rsid w:val="00901787"/>
    <w:rsid w:val="00903246"/>
    <w:rsid w:val="00903497"/>
    <w:rsid w:val="00904081"/>
    <w:rsid w:val="00905228"/>
    <w:rsid w:val="00907149"/>
    <w:rsid w:val="00910C51"/>
    <w:rsid w:val="00911CAF"/>
    <w:rsid w:val="00912DB4"/>
    <w:rsid w:val="00913938"/>
    <w:rsid w:val="00913D80"/>
    <w:rsid w:val="00914D87"/>
    <w:rsid w:val="00916D6D"/>
    <w:rsid w:val="00922D44"/>
    <w:rsid w:val="00923A0A"/>
    <w:rsid w:val="00923F5C"/>
    <w:rsid w:val="00924D05"/>
    <w:rsid w:val="00925CE7"/>
    <w:rsid w:val="0092790C"/>
    <w:rsid w:val="0093014B"/>
    <w:rsid w:val="00933811"/>
    <w:rsid w:val="00933E2F"/>
    <w:rsid w:val="00934608"/>
    <w:rsid w:val="00934967"/>
    <w:rsid w:val="009352EC"/>
    <w:rsid w:val="00936C67"/>
    <w:rsid w:val="00937F1F"/>
    <w:rsid w:val="0094074C"/>
    <w:rsid w:val="00940829"/>
    <w:rsid w:val="0094188E"/>
    <w:rsid w:val="00941A55"/>
    <w:rsid w:val="00942FA7"/>
    <w:rsid w:val="009434AF"/>
    <w:rsid w:val="0094489C"/>
    <w:rsid w:val="00945192"/>
    <w:rsid w:val="0094587D"/>
    <w:rsid w:val="009462DF"/>
    <w:rsid w:val="009466BB"/>
    <w:rsid w:val="009466C3"/>
    <w:rsid w:val="00946925"/>
    <w:rsid w:val="00951476"/>
    <w:rsid w:val="0095252A"/>
    <w:rsid w:val="009538BA"/>
    <w:rsid w:val="00955ECE"/>
    <w:rsid w:val="009566AE"/>
    <w:rsid w:val="009567F8"/>
    <w:rsid w:val="00960AC1"/>
    <w:rsid w:val="00961375"/>
    <w:rsid w:val="00964EB7"/>
    <w:rsid w:val="00965417"/>
    <w:rsid w:val="00967075"/>
    <w:rsid w:val="009714B4"/>
    <w:rsid w:val="00974607"/>
    <w:rsid w:val="00975397"/>
    <w:rsid w:val="00975433"/>
    <w:rsid w:val="009768B0"/>
    <w:rsid w:val="0097734B"/>
    <w:rsid w:val="0098078C"/>
    <w:rsid w:val="00981963"/>
    <w:rsid w:val="009827B2"/>
    <w:rsid w:val="0098406A"/>
    <w:rsid w:val="00984B97"/>
    <w:rsid w:val="00986FFD"/>
    <w:rsid w:val="0098786C"/>
    <w:rsid w:val="0098792B"/>
    <w:rsid w:val="009901D6"/>
    <w:rsid w:val="009902A2"/>
    <w:rsid w:val="009937A0"/>
    <w:rsid w:val="00993C15"/>
    <w:rsid w:val="00994DF1"/>
    <w:rsid w:val="00997AAE"/>
    <w:rsid w:val="009A0F02"/>
    <w:rsid w:val="009A373A"/>
    <w:rsid w:val="009A404E"/>
    <w:rsid w:val="009A7414"/>
    <w:rsid w:val="009A7FDB"/>
    <w:rsid w:val="009B0006"/>
    <w:rsid w:val="009B2998"/>
    <w:rsid w:val="009B2AA7"/>
    <w:rsid w:val="009B41D3"/>
    <w:rsid w:val="009B45F5"/>
    <w:rsid w:val="009B58CE"/>
    <w:rsid w:val="009B724E"/>
    <w:rsid w:val="009C0631"/>
    <w:rsid w:val="009C2C39"/>
    <w:rsid w:val="009C4637"/>
    <w:rsid w:val="009C52E5"/>
    <w:rsid w:val="009C78A3"/>
    <w:rsid w:val="009D1973"/>
    <w:rsid w:val="009D2D2E"/>
    <w:rsid w:val="009D3727"/>
    <w:rsid w:val="009D60A9"/>
    <w:rsid w:val="009D71B8"/>
    <w:rsid w:val="009E013F"/>
    <w:rsid w:val="009E2637"/>
    <w:rsid w:val="009E344C"/>
    <w:rsid w:val="009E3DC5"/>
    <w:rsid w:val="009E4170"/>
    <w:rsid w:val="009E62A9"/>
    <w:rsid w:val="009E6C13"/>
    <w:rsid w:val="009E6E1B"/>
    <w:rsid w:val="009F0926"/>
    <w:rsid w:val="009F2BCA"/>
    <w:rsid w:val="009F5248"/>
    <w:rsid w:val="009F52C0"/>
    <w:rsid w:val="009F5CF1"/>
    <w:rsid w:val="009F63B1"/>
    <w:rsid w:val="009F6787"/>
    <w:rsid w:val="009F6EE1"/>
    <w:rsid w:val="00A03019"/>
    <w:rsid w:val="00A042EA"/>
    <w:rsid w:val="00A060D1"/>
    <w:rsid w:val="00A07B4B"/>
    <w:rsid w:val="00A07FAC"/>
    <w:rsid w:val="00A100B8"/>
    <w:rsid w:val="00A10110"/>
    <w:rsid w:val="00A1128E"/>
    <w:rsid w:val="00A11422"/>
    <w:rsid w:val="00A12504"/>
    <w:rsid w:val="00A13743"/>
    <w:rsid w:val="00A16CF0"/>
    <w:rsid w:val="00A16FF3"/>
    <w:rsid w:val="00A173F8"/>
    <w:rsid w:val="00A17EF6"/>
    <w:rsid w:val="00A2071B"/>
    <w:rsid w:val="00A22E92"/>
    <w:rsid w:val="00A23BBB"/>
    <w:rsid w:val="00A23F1A"/>
    <w:rsid w:val="00A24F87"/>
    <w:rsid w:val="00A27D90"/>
    <w:rsid w:val="00A27E2A"/>
    <w:rsid w:val="00A307F8"/>
    <w:rsid w:val="00A30C04"/>
    <w:rsid w:val="00A32877"/>
    <w:rsid w:val="00A337F1"/>
    <w:rsid w:val="00A33D2C"/>
    <w:rsid w:val="00A35352"/>
    <w:rsid w:val="00A35DCD"/>
    <w:rsid w:val="00A368BC"/>
    <w:rsid w:val="00A44B2B"/>
    <w:rsid w:val="00A44FF9"/>
    <w:rsid w:val="00A458A7"/>
    <w:rsid w:val="00A46495"/>
    <w:rsid w:val="00A47133"/>
    <w:rsid w:val="00A51C61"/>
    <w:rsid w:val="00A54EBF"/>
    <w:rsid w:val="00A54FCB"/>
    <w:rsid w:val="00A56560"/>
    <w:rsid w:val="00A56945"/>
    <w:rsid w:val="00A57516"/>
    <w:rsid w:val="00A575EF"/>
    <w:rsid w:val="00A625A6"/>
    <w:rsid w:val="00A625E4"/>
    <w:rsid w:val="00A62D8C"/>
    <w:rsid w:val="00A62FBC"/>
    <w:rsid w:val="00A63785"/>
    <w:rsid w:val="00A704C4"/>
    <w:rsid w:val="00A7278B"/>
    <w:rsid w:val="00A74257"/>
    <w:rsid w:val="00A750E7"/>
    <w:rsid w:val="00A75930"/>
    <w:rsid w:val="00A76391"/>
    <w:rsid w:val="00A767CB"/>
    <w:rsid w:val="00A775AE"/>
    <w:rsid w:val="00A77AFE"/>
    <w:rsid w:val="00A804DB"/>
    <w:rsid w:val="00A826BF"/>
    <w:rsid w:val="00A82869"/>
    <w:rsid w:val="00A84B13"/>
    <w:rsid w:val="00A8632A"/>
    <w:rsid w:val="00A92B72"/>
    <w:rsid w:val="00A9306B"/>
    <w:rsid w:val="00A930D0"/>
    <w:rsid w:val="00A93B03"/>
    <w:rsid w:val="00A96BE2"/>
    <w:rsid w:val="00A97FA2"/>
    <w:rsid w:val="00AA07C3"/>
    <w:rsid w:val="00AA13AB"/>
    <w:rsid w:val="00AA2B28"/>
    <w:rsid w:val="00AA3A65"/>
    <w:rsid w:val="00AA5591"/>
    <w:rsid w:val="00AA5BEC"/>
    <w:rsid w:val="00AA5DC7"/>
    <w:rsid w:val="00AB029D"/>
    <w:rsid w:val="00AB0444"/>
    <w:rsid w:val="00AB0BD8"/>
    <w:rsid w:val="00AB5338"/>
    <w:rsid w:val="00AB690F"/>
    <w:rsid w:val="00AB6E80"/>
    <w:rsid w:val="00AB7AFD"/>
    <w:rsid w:val="00AC0DC2"/>
    <w:rsid w:val="00AC1DF3"/>
    <w:rsid w:val="00AC3D85"/>
    <w:rsid w:val="00AC52F2"/>
    <w:rsid w:val="00AD0880"/>
    <w:rsid w:val="00AD1286"/>
    <w:rsid w:val="00AD46D4"/>
    <w:rsid w:val="00AD58ED"/>
    <w:rsid w:val="00AD637F"/>
    <w:rsid w:val="00AD6ACE"/>
    <w:rsid w:val="00AD7B3B"/>
    <w:rsid w:val="00AD7F1D"/>
    <w:rsid w:val="00AE0DEE"/>
    <w:rsid w:val="00AE1480"/>
    <w:rsid w:val="00AE1602"/>
    <w:rsid w:val="00AE17D3"/>
    <w:rsid w:val="00AE26D6"/>
    <w:rsid w:val="00AE2B8D"/>
    <w:rsid w:val="00AE38B5"/>
    <w:rsid w:val="00AE3ED5"/>
    <w:rsid w:val="00AE4330"/>
    <w:rsid w:val="00AE4702"/>
    <w:rsid w:val="00AE5B50"/>
    <w:rsid w:val="00AE6212"/>
    <w:rsid w:val="00AE6AE3"/>
    <w:rsid w:val="00AF0CD1"/>
    <w:rsid w:val="00AF1ADE"/>
    <w:rsid w:val="00AF1B4E"/>
    <w:rsid w:val="00AF3023"/>
    <w:rsid w:val="00AF366C"/>
    <w:rsid w:val="00AF4A59"/>
    <w:rsid w:val="00AF5872"/>
    <w:rsid w:val="00AF7D92"/>
    <w:rsid w:val="00B0027C"/>
    <w:rsid w:val="00B037FC"/>
    <w:rsid w:val="00B044B1"/>
    <w:rsid w:val="00B05070"/>
    <w:rsid w:val="00B05B97"/>
    <w:rsid w:val="00B068D3"/>
    <w:rsid w:val="00B06D4E"/>
    <w:rsid w:val="00B07C88"/>
    <w:rsid w:val="00B07E3C"/>
    <w:rsid w:val="00B1085F"/>
    <w:rsid w:val="00B10C5A"/>
    <w:rsid w:val="00B1145F"/>
    <w:rsid w:val="00B119D8"/>
    <w:rsid w:val="00B1292E"/>
    <w:rsid w:val="00B13200"/>
    <w:rsid w:val="00B13ABC"/>
    <w:rsid w:val="00B1401D"/>
    <w:rsid w:val="00B1604D"/>
    <w:rsid w:val="00B21FE0"/>
    <w:rsid w:val="00B261EA"/>
    <w:rsid w:val="00B30344"/>
    <w:rsid w:val="00B30B60"/>
    <w:rsid w:val="00B36582"/>
    <w:rsid w:val="00B366E0"/>
    <w:rsid w:val="00B37392"/>
    <w:rsid w:val="00B404D4"/>
    <w:rsid w:val="00B40E61"/>
    <w:rsid w:val="00B41F27"/>
    <w:rsid w:val="00B4248F"/>
    <w:rsid w:val="00B47733"/>
    <w:rsid w:val="00B47DB9"/>
    <w:rsid w:val="00B50F7A"/>
    <w:rsid w:val="00B5134A"/>
    <w:rsid w:val="00B515FC"/>
    <w:rsid w:val="00B52199"/>
    <w:rsid w:val="00B5338A"/>
    <w:rsid w:val="00B5362D"/>
    <w:rsid w:val="00B54F2B"/>
    <w:rsid w:val="00B5557E"/>
    <w:rsid w:val="00B57300"/>
    <w:rsid w:val="00B57AE0"/>
    <w:rsid w:val="00B57BC7"/>
    <w:rsid w:val="00B60CA6"/>
    <w:rsid w:val="00B615B3"/>
    <w:rsid w:val="00B61E9A"/>
    <w:rsid w:val="00B62507"/>
    <w:rsid w:val="00B63458"/>
    <w:rsid w:val="00B638FC"/>
    <w:rsid w:val="00B6406A"/>
    <w:rsid w:val="00B652CF"/>
    <w:rsid w:val="00B65653"/>
    <w:rsid w:val="00B65F86"/>
    <w:rsid w:val="00B677C4"/>
    <w:rsid w:val="00B70C9F"/>
    <w:rsid w:val="00B711AB"/>
    <w:rsid w:val="00B713AD"/>
    <w:rsid w:val="00B7349A"/>
    <w:rsid w:val="00B740E3"/>
    <w:rsid w:val="00B741F7"/>
    <w:rsid w:val="00B776F9"/>
    <w:rsid w:val="00B77B39"/>
    <w:rsid w:val="00B81268"/>
    <w:rsid w:val="00B826AD"/>
    <w:rsid w:val="00B8373D"/>
    <w:rsid w:val="00B857CC"/>
    <w:rsid w:val="00B86FE8"/>
    <w:rsid w:val="00B90D7A"/>
    <w:rsid w:val="00B9340F"/>
    <w:rsid w:val="00B93950"/>
    <w:rsid w:val="00B93D5E"/>
    <w:rsid w:val="00B95120"/>
    <w:rsid w:val="00B97B81"/>
    <w:rsid w:val="00BA2FCB"/>
    <w:rsid w:val="00BA41E4"/>
    <w:rsid w:val="00BA5339"/>
    <w:rsid w:val="00BA7D68"/>
    <w:rsid w:val="00BA7FA4"/>
    <w:rsid w:val="00BB119B"/>
    <w:rsid w:val="00BB2A2E"/>
    <w:rsid w:val="00BB2A83"/>
    <w:rsid w:val="00BB2E1C"/>
    <w:rsid w:val="00BB3167"/>
    <w:rsid w:val="00BB34E7"/>
    <w:rsid w:val="00BB3ED2"/>
    <w:rsid w:val="00BB7DF1"/>
    <w:rsid w:val="00BC0CAF"/>
    <w:rsid w:val="00BC18B1"/>
    <w:rsid w:val="00BC408E"/>
    <w:rsid w:val="00BD084C"/>
    <w:rsid w:val="00BD0CCA"/>
    <w:rsid w:val="00BD1504"/>
    <w:rsid w:val="00BD1C29"/>
    <w:rsid w:val="00BD2772"/>
    <w:rsid w:val="00BD2E7B"/>
    <w:rsid w:val="00BD374B"/>
    <w:rsid w:val="00BD3C3D"/>
    <w:rsid w:val="00BD3D2C"/>
    <w:rsid w:val="00BD4536"/>
    <w:rsid w:val="00BD4F12"/>
    <w:rsid w:val="00BD5622"/>
    <w:rsid w:val="00BD571D"/>
    <w:rsid w:val="00BD7500"/>
    <w:rsid w:val="00BD7B75"/>
    <w:rsid w:val="00BE41C7"/>
    <w:rsid w:val="00BE52C0"/>
    <w:rsid w:val="00BF0976"/>
    <w:rsid w:val="00BF1051"/>
    <w:rsid w:val="00BF159A"/>
    <w:rsid w:val="00BF1E5D"/>
    <w:rsid w:val="00BF2FA8"/>
    <w:rsid w:val="00BF303C"/>
    <w:rsid w:val="00BF3EAB"/>
    <w:rsid w:val="00BF3F91"/>
    <w:rsid w:val="00BF4491"/>
    <w:rsid w:val="00BF5B77"/>
    <w:rsid w:val="00BF6537"/>
    <w:rsid w:val="00BF69FD"/>
    <w:rsid w:val="00C032AB"/>
    <w:rsid w:val="00C038E7"/>
    <w:rsid w:val="00C03B03"/>
    <w:rsid w:val="00C0469F"/>
    <w:rsid w:val="00C05E75"/>
    <w:rsid w:val="00C0630D"/>
    <w:rsid w:val="00C06316"/>
    <w:rsid w:val="00C06D9D"/>
    <w:rsid w:val="00C11039"/>
    <w:rsid w:val="00C11CA2"/>
    <w:rsid w:val="00C121EC"/>
    <w:rsid w:val="00C137F5"/>
    <w:rsid w:val="00C13B48"/>
    <w:rsid w:val="00C146AB"/>
    <w:rsid w:val="00C153B0"/>
    <w:rsid w:val="00C15DE5"/>
    <w:rsid w:val="00C15E0D"/>
    <w:rsid w:val="00C15EF3"/>
    <w:rsid w:val="00C16B0A"/>
    <w:rsid w:val="00C2150F"/>
    <w:rsid w:val="00C21C8C"/>
    <w:rsid w:val="00C228E9"/>
    <w:rsid w:val="00C24424"/>
    <w:rsid w:val="00C31377"/>
    <w:rsid w:val="00C329E9"/>
    <w:rsid w:val="00C32D24"/>
    <w:rsid w:val="00C34C4F"/>
    <w:rsid w:val="00C35291"/>
    <w:rsid w:val="00C3572B"/>
    <w:rsid w:val="00C4583B"/>
    <w:rsid w:val="00C4691B"/>
    <w:rsid w:val="00C47133"/>
    <w:rsid w:val="00C51671"/>
    <w:rsid w:val="00C51B1F"/>
    <w:rsid w:val="00C529B5"/>
    <w:rsid w:val="00C52EFD"/>
    <w:rsid w:val="00C53D4B"/>
    <w:rsid w:val="00C54290"/>
    <w:rsid w:val="00C54558"/>
    <w:rsid w:val="00C57A5E"/>
    <w:rsid w:val="00C60E79"/>
    <w:rsid w:val="00C61B09"/>
    <w:rsid w:val="00C623DC"/>
    <w:rsid w:val="00C63C3C"/>
    <w:rsid w:val="00C65061"/>
    <w:rsid w:val="00C657CF"/>
    <w:rsid w:val="00C6691B"/>
    <w:rsid w:val="00C671C0"/>
    <w:rsid w:val="00C674D0"/>
    <w:rsid w:val="00C71EC2"/>
    <w:rsid w:val="00C71FFB"/>
    <w:rsid w:val="00C72F04"/>
    <w:rsid w:val="00C75575"/>
    <w:rsid w:val="00C75B17"/>
    <w:rsid w:val="00C76111"/>
    <w:rsid w:val="00C801AC"/>
    <w:rsid w:val="00C820CA"/>
    <w:rsid w:val="00C82107"/>
    <w:rsid w:val="00C8226A"/>
    <w:rsid w:val="00C832EE"/>
    <w:rsid w:val="00C83C4D"/>
    <w:rsid w:val="00C841FD"/>
    <w:rsid w:val="00C84474"/>
    <w:rsid w:val="00C85517"/>
    <w:rsid w:val="00C85615"/>
    <w:rsid w:val="00C85EF9"/>
    <w:rsid w:val="00C8689C"/>
    <w:rsid w:val="00C936FE"/>
    <w:rsid w:val="00C947C6"/>
    <w:rsid w:val="00C961A1"/>
    <w:rsid w:val="00C9670D"/>
    <w:rsid w:val="00C974BC"/>
    <w:rsid w:val="00C97F1C"/>
    <w:rsid w:val="00CA1990"/>
    <w:rsid w:val="00CA1E73"/>
    <w:rsid w:val="00CA2948"/>
    <w:rsid w:val="00CA48EB"/>
    <w:rsid w:val="00CA5781"/>
    <w:rsid w:val="00CA60C5"/>
    <w:rsid w:val="00CA6239"/>
    <w:rsid w:val="00CA6626"/>
    <w:rsid w:val="00CA72A8"/>
    <w:rsid w:val="00CA7ABC"/>
    <w:rsid w:val="00CB04D1"/>
    <w:rsid w:val="00CB0B06"/>
    <w:rsid w:val="00CB0D45"/>
    <w:rsid w:val="00CB24FA"/>
    <w:rsid w:val="00CB2F19"/>
    <w:rsid w:val="00CB387B"/>
    <w:rsid w:val="00CB3D10"/>
    <w:rsid w:val="00CB4DEF"/>
    <w:rsid w:val="00CB6C06"/>
    <w:rsid w:val="00CB778E"/>
    <w:rsid w:val="00CB782E"/>
    <w:rsid w:val="00CC1459"/>
    <w:rsid w:val="00CC2014"/>
    <w:rsid w:val="00CC3517"/>
    <w:rsid w:val="00CC3577"/>
    <w:rsid w:val="00CC3C34"/>
    <w:rsid w:val="00CC5311"/>
    <w:rsid w:val="00CC6D08"/>
    <w:rsid w:val="00CC789A"/>
    <w:rsid w:val="00CC7977"/>
    <w:rsid w:val="00CD0F97"/>
    <w:rsid w:val="00CD1838"/>
    <w:rsid w:val="00CD2ED2"/>
    <w:rsid w:val="00CD33D9"/>
    <w:rsid w:val="00CD343A"/>
    <w:rsid w:val="00CD52C3"/>
    <w:rsid w:val="00CD593A"/>
    <w:rsid w:val="00CD5DA7"/>
    <w:rsid w:val="00CE0420"/>
    <w:rsid w:val="00CE5486"/>
    <w:rsid w:val="00CE5E64"/>
    <w:rsid w:val="00CE5FFB"/>
    <w:rsid w:val="00CE6548"/>
    <w:rsid w:val="00CF2811"/>
    <w:rsid w:val="00CF7A0A"/>
    <w:rsid w:val="00D06513"/>
    <w:rsid w:val="00D10905"/>
    <w:rsid w:val="00D11F24"/>
    <w:rsid w:val="00D15D17"/>
    <w:rsid w:val="00D16207"/>
    <w:rsid w:val="00D16C36"/>
    <w:rsid w:val="00D2074F"/>
    <w:rsid w:val="00D218E0"/>
    <w:rsid w:val="00D225C2"/>
    <w:rsid w:val="00D227C3"/>
    <w:rsid w:val="00D23563"/>
    <w:rsid w:val="00D264FE"/>
    <w:rsid w:val="00D2670F"/>
    <w:rsid w:val="00D26EF0"/>
    <w:rsid w:val="00D30604"/>
    <w:rsid w:val="00D3060F"/>
    <w:rsid w:val="00D30972"/>
    <w:rsid w:val="00D333CF"/>
    <w:rsid w:val="00D33C60"/>
    <w:rsid w:val="00D34B24"/>
    <w:rsid w:val="00D34CF7"/>
    <w:rsid w:val="00D34F50"/>
    <w:rsid w:val="00D34F6C"/>
    <w:rsid w:val="00D35291"/>
    <w:rsid w:val="00D359C2"/>
    <w:rsid w:val="00D3672C"/>
    <w:rsid w:val="00D37FE9"/>
    <w:rsid w:val="00D4063C"/>
    <w:rsid w:val="00D41172"/>
    <w:rsid w:val="00D41F1A"/>
    <w:rsid w:val="00D50C52"/>
    <w:rsid w:val="00D50F30"/>
    <w:rsid w:val="00D519CF"/>
    <w:rsid w:val="00D51A19"/>
    <w:rsid w:val="00D545C8"/>
    <w:rsid w:val="00D5561D"/>
    <w:rsid w:val="00D55812"/>
    <w:rsid w:val="00D563A4"/>
    <w:rsid w:val="00D60261"/>
    <w:rsid w:val="00D609DD"/>
    <w:rsid w:val="00D61F2C"/>
    <w:rsid w:val="00D62189"/>
    <w:rsid w:val="00D6221A"/>
    <w:rsid w:val="00D62B7E"/>
    <w:rsid w:val="00D62E96"/>
    <w:rsid w:val="00D6310D"/>
    <w:rsid w:val="00D65DEB"/>
    <w:rsid w:val="00D6666D"/>
    <w:rsid w:val="00D66A8B"/>
    <w:rsid w:val="00D66C2D"/>
    <w:rsid w:val="00D7242B"/>
    <w:rsid w:val="00D72F18"/>
    <w:rsid w:val="00D72FA1"/>
    <w:rsid w:val="00D7468D"/>
    <w:rsid w:val="00D7536B"/>
    <w:rsid w:val="00D761B5"/>
    <w:rsid w:val="00D8089C"/>
    <w:rsid w:val="00D8142A"/>
    <w:rsid w:val="00D853F0"/>
    <w:rsid w:val="00D859C0"/>
    <w:rsid w:val="00D8615E"/>
    <w:rsid w:val="00D86A65"/>
    <w:rsid w:val="00D870E6"/>
    <w:rsid w:val="00D87DEA"/>
    <w:rsid w:val="00D90434"/>
    <w:rsid w:val="00D9136A"/>
    <w:rsid w:val="00D91C9D"/>
    <w:rsid w:val="00D9276E"/>
    <w:rsid w:val="00D96686"/>
    <w:rsid w:val="00D97C0B"/>
    <w:rsid w:val="00DA012F"/>
    <w:rsid w:val="00DA1620"/>
    <w:rsid w:val="00DA1789"/>
    <w:rsid w:val="00DA215B"/>
    <w:rsid w:val="00DA29E9"/>
    <w:rsid w:val="00DA2C12"/>
    <w:rsid w:val="00DA7337"/>
    <w:rsid w:val="00DB027F"/>
    <w:rsid w:val="00DB0DA6"/>
    <w:rsid w:val="00DB1F1C"/>
    <w:rsid w:val="00DB1FDF"/>
    <w:rsid w:val="00DB2015"/>
    <w:rsid w:val="00DB4670"/>
    <w:rsid w:val="00DB619C"/>
    <w:rsid w:val="00DB6461"/>
    <w:rsid w:val="00DB6C4D"/>
    <w:rsid w:val="00DB765D"/>
    <w:rsid w:val="00DB7CEF"/>
    <w:rsid w:val="00DB7FA4"/>
    <w:rsid w:val="00DC5588"/>
    <w:rsid w:val="00DC5F5C"/>
    <w:rsid w:val="00DC6450"/>
    <w:rsid w:val="00DC7F0E"/>
    <w:rsid w:val="00DD1D96"/>
    <w:rsid w:val="00DD38B9"/>
    <w:rsid w:val="00DD4732"/>
    <w:rsid w:val="00DD50AE"/>
    <w:rsid w:val="00DD59C8"/>
    <w:rsid w:val="00DD5F8E"/>
    <w:rsid w:val="00DE0ED2"/>
    <w:rsid w:val="00DE2BE9"/>
    <w:rsid w:val="00DE3231"/>
    <w:rsid w:val="00DE3413"/>
    <w:rsid w:val="00DE38F6"/>
    <w:rsid w:val="00DE40E1"/>
    <w:rsid w:val="00DE40E9"/>
    <w:rsid w:val="00DE61AD"/>
    <w:rsid w:val="00DE6A01"/>
    <w:rsid w:val="00DE6CC4"/>
    <w:rsid w:val="00DF01B8"/>
    <w:rsid w:val="00DF0841"/>
    <w:rsid w:val="00DF0A34"/>
    <w:rsid w:val="00DF146B"/>
    <w:rsid w:val="00DF388E"/>
    <w:rsid w:val="00DF4DA9"/>
    <w:rsid w:val="00DF586E"/>
    <w:rsid w:val="00DF598E"/>
    <w:rsid w:val="00DF6479"/>
    <w:rsid w:val="00DF75A8"/>
    <w:rsid w:val="00E0029F"/>
    <w:rsid w:val="00E01184"/>
    <w:rsid w:val="00E05D46"/>
    <w:rsid w:val="00E05D79"/>
    <w:rsid w:val="00E0712D"/>
    <w:rsid w:val="00E07FAB"/>
    <w:rsid w:val="00E11B78"/>
    <w:rsid w:val="00E13B37"/>
    <w:rsid w:val="00E155C1"/>
    <w:rsid w:val="00E16B68"/>
    <w:rsid w:val="00E1794B"/>
    <w:rsid w:val="00E21529"/>
    <w:rsid w:val="00E226DC"/>
    <w:rsid w:val="00E22E28"/>
    <w:rsid w:val="00E25175"/>
    <w:rsid w:val="00E324E9"/>
    <w:rsid w:val="00E34BC8"/>
    <w:rsid w:val="00E359EB"/>
    <w:rsid w:val="00E36F43"/>
    <w:rsid w:val="00E400F2"/>
    <w:rsid w:val="00E41A6D"/>
    <w:rsid w:val="00E42573"/>
    <w:rsid w:val="00E43A88"/>
    <w:rsid w:val="00E44786"/>
    <w:rsid w:val="00E447A7"/>
    <w:rsid w:val="00E46509"/>
    <w:rsid w:val="00E47DB0"/>
    <w:rsid w:val="00E5012E"/>
    <w:rsid w:val="00E565B2"/>
    <w:rsid w:val="00E57B6E"/>
    <w:rsid w:val="00E57F58"/>
    <w:rsid w:val="00E609CD"/>
    <w:rsid w:val="00E60ABA"/>
    <w:rsid w:val="00E61A04"/>
    <w:rsid w:val="00E61C92"/>
    <w:rsid w:val="00E633CC"/>
    <w:rsid w:val="00E63503"/>
    <w:rsid w:val="00E6603B"/>
    <w:rsid w:val="00E67317"/>
    <w:rsid w:val="00E678AC"/>
    <w:rsid w:val="00E67B7D"/>
    <w:rsid w:val="00E70CE1"/>
    <w:rsid w:val="00E71BDE"/>
    <w:rsid w:val="00E73AF5"/>
    <w:rsid w:val="00E75306"/>
    <w:rsid w:val="00E758C6"/>
    <w:rsid w:val="00E76766"/>
    <w:rsid w:val="00E76861"/>
    <w:rsid w:val="00E80192"/>
    <w:rsid w:val="00E80A09"/>
    <w:rsid w:val="00E820F9"/>
    <w:rsid w:val="00E8382C"/>
    <w:rsid w:val="00E86267"/>
    <w:rsid w:val="00E866A8"/>
    <w:rsid w:val="00E86982"/>
    <w:rsid w:val="00E8735F"/>
    <w:rsid w:val="00E9015C"/>
    <w:rsid w:val="00E9122A"/>
    <w:rsid w:val="00E91A52"/>
    <w:rsid w:val="00E91D96"/>
    <w:rsid w:val="00E93A31"/>
    <w:rsid w:val="00E9442F"/>
    <w:rsid w:val="00E94497"/>
    <w:rsid w:val="00E945A6"/>
    <w:rsid w:val="00E954D7"/>
    <w:rsid w:val="00E95684"/>
    <w:rsid w:val="00E95A5F"/>
    <w:rsid w:val="00E968CC"/>
    <w:rsid w:val="00E96A8E"/>
    <w:rsid w:val="00E97260"/>
    <w:rsid w:val="00E97FD3"/>
    <w:rsid w:val="00EA4286"/>
    <w:rsid w:val="00EA5518"/>
    <w:rsid w:val="00EA5D7D"/>
    <w:rsid w:val="00EB235A"/>
    <w:rsid w:val="00EB278B"/>
    <w:rsid w:val="00EB2EE5"/>
    <w:rsid w:val="00EB300B"/>
    <w:rsid w:val="00EB3A93"/>
    <w:rsid w:val="00EB3E73"/>
    <w:rsid w:val="00EB45A9"/>
    <w:rsid w:val="00EB4B9C"/>
    <w:rsid w:val="00EB7064"/>
    <w:rsid w:val="00EB73C0"/>
    <w:rsid w:val="00EC1D13"/>
    <w:rsid w:val="00EC287B"/>
    <w:rsid w:val="00EC2AFA"/>
    <w:rsid w:val="00EC2BCE"/>
    <w:rsid w:val="00EC3CCD"/>
    <w:rsid w:val="00EC556E"/>
    <w:rsid w:val="00EC6B6F"/>
    <w:rsid w:val="00ED14A1"/>
    <w:rsid w:val="00ED1706"/>
    <w:rsid w:val="00ED2DB4"/>
    <w:rsid w:val="00ED32E3"/>
    <w:rsid w:val="00ED37B6"/>
    <w:rsid w:val="00ED4BE5"/>
    <w:rsid w:val="00ED5AC2"/>
    <w:rsid w:val="00ED5C93"/>
    <w:rsid w:val="00ED5D9F"/>
    <w:rsid w:val="00ED6F95"/>
    <w:rsid w:val="00ED7423"/>
    <w:rsid w:val="00EE0D29"/>
    <w:rsid w:val="00EE13ED"/>
    <w:rsid w:val="00EE1A7D"/>
    <w:rsid w:val="00EE3D6C"/>
    <w:rsid w:val="00EE459D"/>
    <w:rsid w:val="00EE568D"/>
    <w:rsid w:val="00EE6BF8"/>
    <w:rsid w:val="00EE72F4"/>
    <w:rsid w:val="00EE7826"/>
    <w:rsid w:val="00EF0B10"/>
    <w:rsid w:val="00EF1707"/>
    <w:rsid w:val="00EF5168"/>
    <w:rsid w:val="00EF7FFC"/>
    <w:rsid w:val="00F024EE"/>
    <w:rsid w:val="00F03477"/>
    <w:rsid w:val="00F048C5"/>
    <w:rsid w:val="00F04D9D"/>
    <w:rsid w:val="00F05EDA"/>
    <w:rsid w:val="00F071F2"/>
    <w:rsid w:val="00F118A0"/>
    <w:rsid w:val="00F11A4B"/>
    <w:rsid w:val="00F12AD7"/>
    <w:rsid w:val="00F1546E"/>
    <w:rsid w:val="00F15573"/>
    <w:rsid w:val="00F1580F"/>
    <w:rsid w:val="00F175B4"/>
    <w:rsid w:val="00F207D5"/>
    <w:rsid w:val="00F21168"/>
    <w:rsid w:val="00F2226F"/>
    <w:rsid w:val="00F22868"/>
    <w:rsid w:val="00F24529"/>
    <w:rsid w:val="00F25805"/>
    <w:rsid w:val="00F26075"/>
    <w:rsid w:val="00F262F1"/>
    <w:rsid w:val="00F317DC"/>
    <w:rsid w:val="00F31FE6"/>
    <w:rsid w:val="00F32077"/>
    <w:rsid w:val="00F35FC5"/>
    <w:rsid w:val="00F4028B"/>
    <w:rsid w:val="00F40DE2"/>
    <w:rsid w:val="00F4197F"/>
    <w:rsid w:val="00F42CCB"/>
    <w:rsid w:val="00F45641"/>
    <w:rsid w:val="00F46B44"/>
    <w:rsid w:val="00F47BD7"/>
    <w:rsid w:val="00F51995"/>
    <w:rsid w:val="00F52193"/>
    <w:rsid w:val="00F52BFC"/>
    <w:rsid w:val="00F53319"/>
    <w:rsid w:val="00F558B5"/>
    <w:rsid w:val="00F627A6"/>
    <w:rsid w:val="00F64851"/>
    <w:rsid w:val="00F648D2"/>
    <w:rsid w:val="00F6520C"/>
    <w:rsid w:val="00F70E13"/>
    <w:rsid w:val="00F71841"/>
    <w:rsid w:val="00F71CEE"/>
    <w:rsid w:val="00F7304C"/>
    <w:rsid w:val="00F739E6"/>
    <w:rsid w:val="00F75049"/>
    <w:rsid w:val="00F7718F"/>
    <w:rsid w:val="00F7740C"/>
    <w:rsid w:val="00F81038"/>
    <w:rsid w:val="00F81B61"/>
    <w:rsid w:val="00F81FEA"/>
    <w:rsid w:val="00F84983"/>
    <w:rsid w:val="00F8536C"/>
    <w:rsid w:val="00F85AF1"/>
    <w:rsid w:val="00F85FC1"/>
    <w:rsid w:val="00F86105"/>
    <w:rsid w:val="00F869B9"/>
    <w:rsid w:val="00F9015D"/>
    <w:rsid w:val="00F9125F"/>
    <w:rsid w:val="00F944F7"/>
    <w:rsid w:val="00F9488D"/>
    <w:rsid w:val="00F952FF"/>
    <w:rsid w:val="00F9726E"/>
    <w:rsid w:val="00FA12A7"/>
    <w:rsid w:val="00FA2D46"/>
    <w:rsid w:val="00FA3501"/>
    <w:rsid w:val="00FA59AF"/>
    <w:rsid w:val="00FA7658"/>
    <w:rsid w:val="00FB0549"/>
    <w:rsid w:val="00FB0762"/>
    <w:rsid w:val="00FB34EB"/>
    <w:rsid w:val="00FB3C32"/>
    <w:rsid w:val="00FB57C4"/>
    <w:rsid w:val="00FB71FD"/>
    <w:rsid w:val="00FC2F2B"/>
    <w:rsid w:val="00FC42FB"/>
    <w:rsid w:val="00FC45FB"/>
    <w:rsid w:val="00FC4E3A"/>
    <w:rsid w:val="00FC512C"/>
    <w:rsid w:val="00FD0095"/>
    <w:rsid w:val="00FD0367"/>
    <w:rsid w:val="00FD06C9"/>
    <w:rsid w:val="00FD0D7A"/>
    <w:rsid w:val="00FD1E26"/>
    <w:rsid w:val="00FD2CA2"/>
    <w:rsid w:val="00FD4F9B"/>
    <w:rsid w:val="00FD529D"/>
    <w:rsid w:val="00FD52C6"/>
    <w:rsid w:val="00FD555C"/>
    <w:rsid w:val="00FD5C6A"/>
    <w:rsid w:val="00FD67F8"/>
    <w:rsid w:val="00FE387F"/>
    <w:rsid w:val="00FE4204"/>
    <w:rsid w:val="00FE68C5"/>
    <w:rsid w:val="00FE7387"/>
    <w:rsid w:val="00FE7BB9"/>
    <w:rsid w:val="00FF1732"/>
    <w:rsid w:val="00FF181A"/>
    <w:rsid w:val="00FF1E98"/>
    <w:rsid w:val="00FF1FEF"/>
    <w:rsid w:val="00FF2E5E"/>
    <w:rsid w:val="00FF304D"/>
    <w:rsid w:val="00FF32C9"/>
    <w:rsid w:val="00FF5EBE"/>
    <w:rsid w:val="00FF73AE"/>
    <w:rsid w:val="073A0629"/>
    <w:rsid w:val="11CF1ACD"/>
    <w:rsid w:val="20D36AE6"/>
    <w:rsid w:val="224E497E"/>
    <w:rsid w:val="35E63722"/>
    <w:rsid w:val="37BE76CA"/>
    <w:rsid w:val="3D2D637B"/>
    <w:rsid w:val="40204978"/>
    <w:rsid w:val="428E0070"/>
    <w:rsid w:val="44F00175"/>
    <w:rsid w:val="45810BAA"/>
    <w:rsid w:val="4E0B519C"/>
    <w:rsid w:val="51443410"/>
    <w:rsid w:val="56CA5053"/>
    <w:rsid w:val="65A1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adjustRightInd w:val="0"/>
      <w:snapToGrid w:val="0"/>
      <w:spacing w:before="100" w:beforeAutospacing="1" w:after="100" w:afterAutospacing="1"/>
      <w:ind w:left="420" w:leftChars="200"/>
      <w:outlineLvl w:val="0"/>
    </w:pPr>
    <w:rPr>
      <w:rFonts w:eastAsia="黑体"/>
      <w:bCs/>
      <w:kern w:val="44"/>
      <w:sz w:val="28"/>
      <w:szCs w:val="44"/>
    </w:rPr>
  </w:style>
  <w:style w:type="paragraph" w:styleId="3">
    <w:name w:val="heading 2"/>
    <w:basedOn w:val="1"/>
    <w:next w:val="1"/>
    <w:link w:val="22"/>
    <w:unhideWhenUsed/>
    <w:qFormat/>
    <w:uiPriority w:val="9"/>
    <w:pPr>
      <w:keepNext/>
      <w:keepLines/>
      <w:snapToGrid w:val="0"/>
      <w:spacing w:before="100" w:beforeAutospacing="1" w:after="100" w:afterAutospacing="1"/>
      <w:ind w:left="420" w:leftChars="200"/>
      <w:outlineLvl w:val="1"/>
    </w:pPr>
    <w:rPr>
      <w:rFonts w:eastAsia="楷体" w:asciiTheme="majorHAnsi" w:hAnsiTheme="majorHAnsi" w:cstheme="majorBidi"/>
      <w:bCs/>
      <w:sz w:val="28"/>
      <w:szCs w:val="32"/>
    </w:rPr>
  </w:style>
  <w:style w:type="paragraph" w:styleId="4">
    <w:name w:val="heading 3"/>
    <w:basedOn w:val="1"/>
    <w:next w:val="1"/>
    <w:link w:val="23"/>
    <w:autoRedefine/>
    <w:unhideWhenUsed/>
    <w:qFormat/>
    <w:uiPriority w:val="9"/>
    <w:pPr>
      <w:keepNext/>
      <w:keepLines/>
      <w:spacing w:before="75" w:beforeLines="75" w:after="75" w:afterLines="75" w:line="280" w:lineRule="exact"/>
      <w:ind w:left="200" w:leftChars="200"/>
      <w:outlineLvl w:val="2"/>
    </w:pPr>
    <w:rPr>
      <w:rFonts w:ascii="仿宋" w:hAnsi="仿宋" w:eastAsia="仿宋"/>
      <w:b/>
      <w:bCs/>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4"/>
    <w:autoRedefine/>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6"/>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autoRedefine/>
    <w:unhideWhenUsed/>
    <w:qFormat/>
    <w:uiPriority w:val="39"/>
    <w:pPr>
      <w:ind w:left="420" w:leftChars="200"/>
    </w:p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2"/>
    <w:autoRedefine/>
    <w:semiHidden/>
    <w:unhideWhenUsed/>
    <w:qFormat/>
    <w:uiPriority w:val="99"/>
    <w:rPr>
      <w:b/>
      <w:bCs/>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eastAsia="黑体"/>
      <w:bCs/>
      <w:kern w:val="44"/>
      <w:sz w:val="28"/>
      <w:szCs w:val="44"/>
    </w:rPr>
  </w:style>
  <w:style w:type="character" w:customStyle="1" w:styleId="22">
    <w:name w:val="标题 2 字符"/>
    <w:basedOn w:val="17"/>
    <w:link w:val="3"/>
    <w:autoRedefine/>
    <w:qFormat/>
    <w:uiPriority w:val="9"/>
    <w:rPr>
      <w:rFonts w:eastAsia="楷体" w:asciiTheme="majorHAnsi" w:hAnsiTheme="majorHAnsi" w:cstheme="majorBidi"/>
      <w:bCs/>
      <w:kern w:val="2"/>
      <w:sz w:val="28"/>
      <w:szCs w:val="32"/>
    </w:rPr>
  </w:style>
  <w:style w:type="character" w:customStyle="1" w:styleId="23">
    <w:name w:val="标题 3 字符"/>
    <w:basedOn w:val="17"/>
    <w:link w:val="4"/>
    <w:autoRedefine/>
    <w:qFormat/>
    <w:uiPriority w:val="0"/>
    <w:rPr>
      <w:rFonts w:ascii="仿宋" w:hAnsi="仿宋" w:eastAsia="仿宋"/>
      <w:b/>
      <w:bCs/>
      <w:kern w:val="2"/>
      <w:sz w:val="21"/>
      <w:szCs w:val="32"/>
    </w:rPr>
  </w:style>
  <w:style w:type="character" w:customStyle="1" w:styleId="24">
    <w:name w:val="日期 字符"/>
    <w:basedOn w:val="17"/>
    <w:link w:val="7"/>
    <w:autoRedefine/>
    <w:semiHidden/>
    <w:qFormat/>
    <w:uiPriority w:val="99"/>
    <w:rPr>
      <w:kern w:val="2"/>
      <w:sz w:val="21"/>
      <w:szCs w:val="22"/>
    </w:rPr>
  </w:style>
  <w:style w:type="character" w:customStyle="1" w:styleId="25">
    <w:name w:val="批注框文本 字符"/>
    <w:basedOn w:val="17"/>
    <w:link w:val="8"/>
    <w:autoRedefine/>
    <w:semiHidden/>
    <w:qFormat/>
    <w:uiPriority w:val="99"/>
    <w:rPr>
      <w:sz w:val="18"/>
      <w:szCs w:val="18"/>
    </w:rPr>
  </w:style>
  <w:style w:type="character" w:customStyle="1" w:styleId="26">
    <w:name w:val="页脚 字符"/>
    <w:basedOn w:val="17"/>
    <w:link w:val="9"/>
    <w:autoRedefine/>
    <w:qFormat/>
    <w:uiPriority w:val="99"/>
    <w:rPr>
      <w:sz w:val="18"/>
      <w:szCs w:val="18"/>
    </w:rPr>
  </w:style>
  <w:style w:type="character" w:customStyle="1" w:styleId="27">
    <w:name w:val="页眉 字符"/>
    <w:basedOn w:val="17"/>
    <w:link w:val="10"/>
    <w:autoRedefine/>
    <w:qFormat/>
    <w:uiPriority w:val="99"/>
    <w:rPr>
      <w:sz w:val="18"/>
      <w:szCs w:val="18"/>
    </w:rPr>
  </w:style>
  <w:style w:type="paragraph" w:customStyle="1" w:styleId="28">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styleId="29">
    <w:name w:val="List Paragraph"/>
    <w:basedOn w:val="1"/>
    <w:qFormat/>
    <w:uiPriority w:val="99"/>
    <w:pPr>
      <w:ind w:firstLine="420" w:firstLineChars="200"/>
    </w:pPr>
  </w:style>
  <w:style w:type="paragraph" w:customStyle="1" w:styleId="30">
    <w:name w:val="列出段落1"/>
    <w:basedOn w:val="1"/>
    <w:autoRedefine/>
    <w:semiHidden/>
    <w:qFormat/>
    <w:uiPriority w:val="0"/>
    <w:pPr>
      <w:ind w:firstLine="420" w:firstLineChars="200"/>
    </w:pPr>
    <w:rPr>
      <w:rFonts w:ascii="Calibri" w:hAnsi="Calibri" w:eastAsia="宋体" w:cs="Times New Roman"/>
      <w:szCs w:val="21"/>
    </w:rPr>
  </w:style>
  <w:style w:type="character" w:customStyle="1" w:styleId="31">
    <w:name w:val="批注文字 字符"/>
    <w:basedOn w:val="17"/>
    <w:link w:val="5"/>
    <w:autoRedefine/>
    <w:semiHidden/>
    <w:qFormat/>
    <w:uiPriority w:val="99"/>
    <w:rPr>
      <w:kern w:val="2"/>
      <w:sz w:val="21"/>
      <w:szCs w:val="22"/>
    </w:rPr>
  </w:style>
  <w:style w:type="character" w:customStyle="1" w:styleId="32">
    <w:name w:val="批注主题 字符"/>
    <w:basedOn w:val="31"/>
    <w:link w:val="14"/>
    <w:autoRedefine/>
    <w:semiHidden/>
    <w:qFormat/>
    <w:uiPriority w:val="99"/>
    <w:rPr>
      <w:b/>
      <w:bCs/>
      <w:kern w:val="2"/>
      <w:sz w:val="21"/>
      <w:szCs w:val="22"/>
    </w:rPr>
  </w:style>
  <w:style w:type="paragraph" w:customStyle="1" w:styleId="33">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font21"/>
    <w:basedOn w:val="17"/>
    <w:autoRedefine/>
    <w:qFormat/>
    <w:uiPriority w:val="0"/>
    <w:rPr>
      <w:rFonts w:hint="eastAsia" w:ascii="宋体" w:hAnsi="宋体" w:eastAsia="宋体" w:cs="宋体"/>
      <w:b/>
      <w:bCs/>
      <w:color w:val="000000"/>
      <w:sz w:val="18"/>
      <w:szCs w:val="18"/>
      <w:u w:val="none"/>
    </w:rPr>
  </w:style>
  <w:style w:type="character" w:customStyle="1" w:styleId="35">
    <w:name w:val="font31"/>
    <w:basedOn w:val="17"/>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7442-1322-45B3-8FA8-EAC8BA7AF716}">
  <ds:schemaRefs/>
</ds:datastoreItem>
</file>

<file path=docProps/app.xml><?xml version="1.0" encoding="utf-8"?>
<Properties xmlns="http://schemas.openxmlformats.org/officeDocument/2006/extended-properties" xmlns:vt="http://schemas.openxmlformats.org/officeDocument/2006/docPropsVTypes">
  <Template>Normal</Template>
  <Pages>33</Pages>
  <Words>3277</Words>
  <Characters>18682</Characters>
  <Lines>155</Lines>
  <Paragraphs>43</Paragraphs>
  <TotalTime>1</TotalTime>
  <ScaleCrop>false</ScaleCrop>
  <LinksUpToDate>false</LinksUpToDate>
  <CharactersWithSpaces>21916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2022-07-07T01:15:00Z</dcterms:created>
  <dc:creator>谭立霞</dc:creator>
  <cp:lastModifiedBy>老孔</cp:lastModifiedBy>
  <dcterms:modified xsi:type="dcterms:W3CDTF">2024-05-13T02:48:56Z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DA42B596DB454962851918FFCFE3E7F0</vt:lpwstr>
  </property>
</Properties>
</file>