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4"/>
          <w:szCs w:val="20"/>
        </w:rPr>
      </w:pPr>
    </w:p>
    <w:p>
      <w:pPr>
        <w:rPr>
          <w:rFonts w:ascii="宋体" w:hAnsi="宋体" w:eastAsia="宋体" w:cs="宋体"/>
          <w:sz w:val="24"/>
          <w:szCs w:val="20"/>
        </w:rPr>
      </w:pPr>
    </w:p>
    <w:p>
      <w:pPr>
        <w:rPr>
          <w:rFonts w:ascii="宋体" w:hAnsi="宋体" w:eastAsia="宋体" w:cs="宋体"/>
          <w:sz w:val="24"/>
          <w:szCs w:val="20"/>
        </w:rPr>
      </w:pPr>
      <w:r>
        <w:rPr>
          <w:rFonts w:ascii="宋体" w:hAnsi="宋体" w:eastAsia="宋体" w:cs="宋体"/>
          <w:sz w:val="24"/>
          <w:szCs w:val="20"/>
        </w:rPr>
        <w:drawing>
          <wp:inline distT="0" distB="0" distL="0" distR="0">
            <wp:extent cx="3648075" cy="762000"/>
            <wp:effectExtent l="0" t="0" r="9525" b="0"/>
            <wp:docPr id="28" name="图片 28" descr="广东工贸职业技术学院新标识[1](2015-6-3 15-53-28 6072)_meitu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广东工贸职业技术学院新标识[1](2015-6-3 15-53-28 6072)_meitu_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48075" cy="762000"/>
                    </a:xfrm>
                    <a:prstGeom prst="rect">
                      <a:avLst/>
                    </a:prstGeom>
                    <a:noFill/>
                    <a:ln>
                      <a:noFill/>
                    </a:ln>
                  </pic:spPr>
                </pic:pic>
              </a:graphicData>
            </a:graphic>
          </wp:inline>
        </w:drawing>
      </w:r>
    </w:p>
    <w:p>
      <w:pPr>
        <w:rPr>
          <w:rFonts w:ascii="宋体" w:hAnsi="宋体" w:eastAsia="宋体" w:cs="宋体"/>
          <w:sz w:val="24"/>
          <w:szCs w:val="20"/>
        </w:rPr>
      </w:pPr>
    </w:p>
    <w:p>
      <w:pPr>
        <w:rPr>
          <w:rFonts w:ascii="宋体" w:hAnsi="宋体" w:eastAsia="宋体" w:cs="宋体"/>
          <w:sz w:val="24"/>
          <w:szCs w:val="20"/>
        </w:rPr>
      </w:pPr>
    </w:p>
    <w:p>
      <w:pPr>
        <w:rPr>
          <w:rFonts w:ascii="宋体" w:hAnsi="宋体" w:eastAsia="宋体" w:cs="宋体"/>
          <w:sz w:val="24"/>
          <w:szCs w:val="20"/>
        </w:rPr>
      </w:pPr>
    </w:p>
    <w:p>
      <w:pPr>
        <w:jc w:val="center"/>
        <w:rPr>
          <w:rFonts w:ascii="宋体" w:hAnsi="宋体" w:eastAsia="宋体" w:cs="宋体"/>
          <w:sz w:val="24"/>
          <w:szCs w:val="20"/>
        </w:rPr>
      </w:pPr>
      <w:r>
        <w:rPr>
          <w:rFonts w:hint="eastAsia" w:ascii="宋体" w:hAnsi="宋体"/>
          <w:sz w:val="48"/>
          <w:szCs w:val="48"/>
        </w:rPr>
        <w:t>机电工程</w:t>
      </w:r>
      <w:r>
        <w:rPr>
          <w:rFonts w:hint="eastAsia" w:ascii="宋体" w:hAnsi="宋体" w:eastAsia="宋体" w:cs="宋体"/>
          <w:sz w:val="48"/>
          <w:szCs w:val="48"/>
        </w:rPr>
        <w:t>学院</w:t>
      </w:r>
    </w:p>
    <w:p>
      <w:pPr>
        <w:rPr>
          <w:rFonts w:ascii="宋体" w:hAnsi="宋体" w:eastAsia="宋体" w:cs="宋体"/>
          <w:sz w:val="24"/>
          <w:szCs w:val="20"/>
        </w:rPr>
      </w:pPr>
    </w:p>
    <w:p>
      <w:pPr>
        <w:spacing w:line="480" w:lineRule="auto"/>
        <w:jc w:val="center"/>
        <w:rPr>
          <w:rFonts w:ascii="宋体" w:hAnsi="宋体" w:eastAsia="宋体" w:cs="宋体"/>
          <w:sz w:val="48"/>
          <w:szCs w:val="48"/>
        </w:rPr>
      </w:pPr>
      <w:bookmarkStart w:id="0" w:name="_Toc241725850"/>
      <w:r>
        <w:rPr>
          <w:rFonts w:hint="eastAsia" w:ascii="宋体" w:hAnsi="宋体"/>
          <w:sz w:val="48"/>
          <w:szCs w:val="48"/>
        </w:rPr>
        <w:t>机电一体化技术</w:t>
      </w:r>
      <w:r>
        <w:rPr>
          <w:rFonts w:hint="eastAsia" w:ascii="宋体" w:hAnsi="宋体" w:eastAsia="宋体" w:cs="宋体"/>
          <w:sz w:val="48"/>
          <w:szCs w:val="48"/>
        </w:rPr>
        <w:t>专业</w:t>
      </w:r>
    </w:p>
    <w:p>
      <w:pPr>
        <w:spacing w:before="156" w:beforeLines="50" w:after="156" w:afterLines="50" w:line="480" w:lineRule="auto"/>
        <w:jc w:val="center"/>
        <w:rPr>
          <w:rFonts w:ascii="宋体" w:hAnsi="宋体" w:eastAsia="宋体" w:cs="宋体"/>
          <w:sz w:val="44"/>
          <w:szCs w:val="44"/>
        </w:rPr>
      </w:pPr>
    </w:p>
    <w:p>
      <w:pPr>
        <w:spacing w:line="1200" w:lineRule="auto"/>
        <w:jc w:val="center"/>
        <w:rPr>
          <w:rFonts w:ascii="宋体" w:hAnsi="宋体" w:eastAsia="宋体" w:cs="宋体"/>
          <w:b/>
          <w:spacing w:val="30"/>
          <w:sz w:val="72"/>
          <w:szCs w:val="72"/>
        </w:rPr>
      </w:pPr>
      <w:r>
        <w:rPr>
          <w:rFonts w:hint="eastAsia" w:ascii="宋体" w:hAnsi="宋体" w:eastAsia="宋体" w:cs="宋体"/>
          <w:b/>
          <w:spacing w:val="30"/>
          <w:sz w:val="72"/>
          <w:szCs w:val="72"/>
        </w:rPr>
        <w:t>人才培养方案</w:t>
      </w:r>
    </w:p>
    <w:p>
      <w:pPr>
        <w:spacing w:line="480" w:lineRule="auto"/>
        <w:jc w:val="center"/>
        <w:rPr>
          <w:rFonts w:ascii="宋体" w:hAnsi="宋体" w:eastAsia="宋体" w:cs="宋体"/>
          <w:b/>
          <w:sz w:val="48"/>
          <w:szCs w:val="48"/>
        </w:rPr>
      </w:pPr>
      <w:r>
        <w:rPr>
          <w:rFonts w:hint="eastAsia" w:ascii="宋体" w:hAnsi="宋体" w:eastAsia="宋体" w:cs="宋体"/>
          <w:b/>
          <w:sz w:val="48"/>
          <w:szCs w:val="48"/>
        </w:rPr>
        <w:t>（202</w:t>
      </w:r>
      <w:r>
        <w:rPr>
          <w:rFonts w:hint="eastAsia" w:ascii="宋体" w:hAnsi="宋体" w:eastAsia="宋体" w:cs="宋体"/>
          <w:b/>
          <w:sz w:val="48"/>
          <w:szCs w:val="48"/>
          <w:lang w:val="en-US" w:eastAsia="zh-CN"/>
        </w:rPr>
        <w:t>3</w:t>
      </w:r>
      <w:r>
        <w:rPr>
          <w:rFonts w:hint="eastAsia" w:ascii="宋体" w:hAnsi="宋体" w:eastAsia="宋体" w:cs="宋体"/>
          <w:b/>
          <w:sz w:val="48"/>
          <w:szCs w:val="48"/>
        </w:rPr>
        <w:t>级普通高中）</w:t>
      </w:r>
    </w:p>
    <w:p>
      <w:pPr>
        <w:spacing w:line="480" w:lineRule="auto"/>
        <w:jc w:val="center"/>
        <w:rPr>
          <w:rFonts w:ascii="宋体" w:hAnsi="宋体" w:eastAsia="宋体" w:cs="宋体"/>
          <w:b/>
          <w:sz w:val="48"/>
          <w:szCs w:val="48"/>
        </w:rPr>
      </w:pPr>
    </w:p>
    <w:p>
      <w:pPr>
        <w:spacing w:line="480" w:lineRule="auto"/>
        <w:jc w:val="center"/>
        <w:rPr>
          <w:rFonts w:ascii="宋体" w:hAnsi="宋体" w:eastAsia="宋体" w:cs="宋体"/>
          <w:b/>
          <w:sz w:val="48"/>
          <w:szCs w:val="48"/>
        </w:rPr>
      </w:pPr>
    </w:p>
    <w:p>
      <w:pPr>
        <w:spacing w:line="480" w:lineRule="auto"/>
        <w:jc w:val="center"/>
        <w:rPr>
          <w:rFonts w:ascii="宋体" w:hAnsi="宋体" w:eastAsia="宋体" w:cs="宋体"/>
          <w:b/>
          <w:sz w:val="48"/>
          <w:szCs w:val="48"/>
        </w:rPr>
      </w:pPr>
    </w:p>
    <w:p>
      <w:pPr>
        <w:spacing w:line="480" w:lineRule="auto"/>
        <w:jc w:val="center"/>
        <w:rPr>
          <w:rFonts w:ascii="宋体" w:hAnsi="宋体" w:eastAsia="宋体" w:cs="宋体"/>
          <w:b/>
          <w:sz w:val="48"/>
          <w:szCs w:val="48"/>
        </w:rPr>
      </w:pPr>
    </w:p>
    <w:p>
      <w:pPr>
        <w:spacing w:line="480" w:lineRule="auto"/>
        <w:jc w:val="center"/>
        <w:rPr>
          <w:rFonts w:ascii="宋体" w:hAnsi="宋体" w:eastAsia="宋体" w:cs="宋体"/>
          <w:sz w:val="44"/>
          <w:szCs w:val="44"/>
        </w:rPr>
      </w:pPr>
    </w:p>
    <w:p>
      <w:pPr>
        <w:spacing w:line="480" w:lineRule="auto"/>
        <w:rPr>
          <w:rFonts w:ascii="宋体" w:hAnsi="宋体" w:eastAsia="宋体" w:cs="宋体"/>
          <w:sz w:val="44"/>
          <w:szCs w:val="44"/>
        </w:rPr>
      </w:pPr>
    </w:p>
    <w:p>
      <w:pPr>
        <w:spacing w:line="480" w:lineRule="auto"/>
        <w:jc w:val="center"/>
        <w:rPr>
          <w:rFonts w:ascii="宋体" w:hAnsi="宋体" w:eastAsia="宋体" w:cs="宋体"/>
          <w:spacing w:val="40"/>
          <w:sz w:val="32"/>
          <w:szCs w:val="32"/>
        </w:rPr>
      </w:pPr>
      <w:r>
        <w:rPr>
          <w:rFonts w:hint="eastAsia" w:ascii="宋体" w:hAnsi="宋体" w:eastAsia="宋体" w:cs="宋体"/>
          <w:spacing w:val="40"/>
          <w:sz w:val="32"/>
          <w:szCs w:val="32"/>
        </w:rPr>
        <w:t>广东工贸职业技术学院</w:t>
      </w:r>
    </w:p>
    <w:p>
      <w:pPr>
        <w:jc w:val="center"/>
        <w:rPr>
          <w:rFonts w:ascii="宋体" w:hAnsi="宋体" w:eastAsia="宋体" w:cs="宋体"/>
          <w:spacing w:val="40"/>
          <w:sz w:val="32"/>
          <w:szCs w:val="32"/>
        </w:rPr>
      </w:pPr>
      <w:r>
        <w:rPr>
          <w:rFonts w:hint="eastAsia" w:ascii="宋体" w:hAnsi="宋体" w:eastAsia="宋体" w:cs="宋体"/>
          <w:spacing w:val="40"/>
          <w:sz w:val="32"/>
          <w:szCs w:val="32"/>
        </w:rPr>
        <w:t>二○二</w:t>
      </w:r>
      <w:r>
        <w:rPr>
          <w:rFonts w:hint="eastAsia" w:ascii="宋体" w:hAnsi="宋体" w:eastAsia="宋体" w:cs="宋体"/>
          <w:spacing w:val="40"/>
          <w:sz w:val="32"/>
          <w:szCs w:val="32"/>
          <w:lang w:eastAsia="zh-CN"/>
        </w:rPr>
        <w:t>三</w:t>
      </w:r>
      <w:r>
        <w:rPr>
          <w:rFonts w:hint="eastAsia" w:ascii="宋体" w:hAnsi="宋体" w:eastAsia="宋体" w:cs="宋体"/>
          <w:spacing w:val="40"/>
          <w:sz w:val="32"/>
          <w:szCs w:val="32"/>
        </w:rPr>
        <w:t>年三月</w:t>
      </w:r>
    </w:p>
    <w:p>
      <w:pPr>
        <w:jc w:val="center"/>
        <w:rPr>
          <w:rFonts w:ascii="宋体" w:hAnsi="宋体" w:eastAsia="宋体" w:cs="宋体"/>
          <w:spacing w:val="40"/>
          <w:sz w:val="32"/>
          <w:szCs w:val="32"/>
        </w:rPr>
      </w:pPr>
    </w:p>
    <w:p>
      <w:pPr>
        <w:widowControl/>
        <w:jc w:val="left"/>
        <w:rPr>
          <w:rFonts w:ascii="黑体" w:hAnsi="黑体" w:eastAsia="黑体" w:cs="宋体"/>
          <w:kern w:val="0"/>
          <w:sz w:val="30"/>
          <w:szCs w:val="30"/>
        </w:rPr>
      </w:pPr>
      <w:r>
        <w:rPr>
          <w:rFonts w:ascii="黑体" w:hAnsi="黑体" w:eastAsia="黑体" w:cs="宋体"/>
          <w:kern w:val="0"/>
          <w:sz w:val="30"/>
          <w:szCs w:val="30"/>
        </w:rPr>
        <w:br w:type="page"/>
      </w:r>
    </w:p>
    <w:p>
      <w:pPr>
        <w:jc w:val="center"/>
        <w:rPr>
          <w:rFonts w:ascii="黑体" w:hAnsi="黑体" w:eastAsia="黑体" w:cs="宋体"/>
          <w:kern w:val="0"/>
          <w:sz w:val="30"/>
          <w:szCs w:val="30"/>
        </w:rPr>
      </w:pPr>
      <w:r>
        <w:rPr>
          <w:rFonts w:hint="eastAsia" w:ascii="黑体" w:hAnsi="黑体" w:eastAsia="黑体" w:cs="宋体"/>
          <w:kern w:val="0"/>
          <w:sz w:val="30"/>
          <w:szCs w:val="30"/>
        </w:rPr>
        <w:t>编制说明</w:t>
      </w:r>
    </w:p>
    <w:p>
      <w:pPr>
        <w:jc w:val="center"/>
        <w:rPr>
          <w:rFonts w:ascii="黑体" w:hAnsi="黑体" w:eastAsia="黑体" w:cs="宋体"/>
          <w:color w:val="FF0000"/>
          <w:kern w:val="0"/>
          <w:sz w:val="30"/>
          <w:szCs w:val="30"/>
        </w:rPr>
      </w:pPr>
    </w:p>
    <w:p>
      <w:pPr>
        <w:adjustRightInd w:val="0"/>
        <w:snapToGrid w:val="0"/>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本专业人才培养方案是参照高等职业学校机电一体化技术（国家）专业教学标准，在专业委员会和行业协会的指导下，由专业带头人主持制订，经专家组论证、学校党委会审定，自202</w:t>
      </w:r>
      <w:r>
        <w:rPr>
          <w:rFonts w:hint="eastAsia" w:cs="宋体" w:asciiTheme="majorEastAsia" w:hAnsiTheme="majorEastAsia" w:eastAsiaTheme="majorEastAsia"/>
          <w:sz w:val="24"/>
          <w:szCs w:val="24"/>
          <w:lang w:val="en-US" w:eastAsia="zh-CN"/>
        </w:rPr>
        <w:t>3</w:t>
      </w:r>
      <w:r>
        <w:rPr>
          <w:rFonts w:hint="eastAsia" w:cs="宋体" w:asciiTheme="majorEastAsia" w:hAnsiTheme="majorEastAsia" w:eastAsiaTheme="majorEastAsia"/>
          <w:sz w:val="24"/>
          <w:szCs w:val="24"/>
        </w:rPr>
        <w:t>级执行。制订过程中，我们选取了粤港澳大湾区</w:t>
      </w:r>
      <w:r>
        <w:rPr>
          <w:rFonts w:hint="eastAsia" w:ascii="宋体" w:hAnsi="宋体"/>
          <w:sz w:val="24"/>
          <w:szCs w:val="24"/>
        </w:rPr>
        <w:t>机电一体化技术</w:t>
      </w:r>
      <w:r>
        <w:rPr>
          <w:rFonts w:hint="eastAsia" w:cs="宋体" w:asciiTheme="majorEastAsia" w:hAnsiTheme="majorEastAsia" w:eastAsiaTheme="majorEastAsia"/>
          <w:sz w:val="24"/>
          <w:szCs w:val="24"/>
        </w:rPr>
        <w:t>为主要调研对象，共走访了广东利元亨智能装备股份有限公司、东莞新能德科技有限公司、深圳吉阳智能科技有限公司等1</w:t>
      </w:r>
      <w:r>
        <w:rPr>
          <w:rFonts w:cs="宋体" w:asciiTheme="majorEastAsia" w:hAnsiTheme="majorEastAsia" w:eastAsiaTheme="majorEastAsia"/>
          <w:sz w:val="24"/>
          <w:szCs w:val="24"/>
        </w:rPr>
        <w:t>20</w:t>
      </w:r>
      <w:r>
        <w:rPr>
          <w:rFonts w:hint="eastAsia" w:cs="宋体" w:asciiTheme="majorEastAsia" w:hAnsiTheme="majorEastAsia" w:eastAsiaTheme="majorEastAsia"/>
          <w:sz w:val="24"/>
          <w:szCs w:val="24"/>
        </w:rPr>
        <w:t>多家企业，对企业生产管理人员、人力资源部门负责人等进行了充分的访谈，对往届毕业生进行了跟踪调查，先后邀请广东利元亨智能装备股份有限公司、东莞新能德科技有限公司等行业专家及企业高管等人参与了本方案的制订。</w:t>
      </w:r>
    </w:p>
    <w:p>
      <w:pPr>
        <w:adjustRightInd w:val="0"/>
        <w:snapToGrid w:val="0"/>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参加本方案制订的人员主要有：</w:t>
      </w:r>
    </w:p>
    <w:p>
      <w:pPr>
        <w:adjustRightInd w:val="0"/>
        <w:snapToGrid w:val="0"/>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专业带头人：</w:t>
      </w:r>
      <w:r>
        <w:rPr>
          <w:rFonts w:hint="eastAsia" w:cs="宋体" w:asciiTheme="majorEastAsia" w:hAnsiTheme="majorEastAsia" w:eastAsiaTheme="majorEastAsia"/>
          <w:sz w:val="24"/>
          <w:szCs w:val="24"/>
          <w:lang w:eastAsia="zh-CN"/>
        </w:rPr>
        <w:t>孔令叶</w:t>
      </w:r>
      <w:r>
        <w:rPr>
          <w:rFonts w:hint="eastAsia" w:cs="宋体" w:asciiTheme="majorEastAsia" w:hAnsiTheme="majorEastAsia" w:eastAsiaTheme="majorEastAsia"/>
          <w:sz w:val="24"/>
          <w:szCs w:val="24"/>
        </w:rPr>
        <w:t xml:space="preserve">    广东工贸职业技术学院     副教授</w:t>
      </w:r>
    </w:p>
    <w:p>
      <w:pPr>
        <w:spacing w:line="360" w:lineRule="auto"/>
        <w:ind w:right="1200"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编制参与人：</w:t>
      </w:r>
    </w:p>
    <w:p>
      <w:pPr>
        <w:spacing w:line="360" w:lineRule="auto"/>
        <w:ind w:right="1200"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1.学校参与人：</w:t>
      </w:r>
    </w:p>
    <w:p>
      <w:pPr>
        <w:spacing w:line="360" w:lineRule="auto"/>
        <w:ind w:firstLine="1440" w:firstLineChars="6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徐勇军  广东工贸职业技术学院       教授</w:t>
      </w:r>
    </w:p>
    <w:p>
      <w:pPr>
        <w:spacing w:line="360" w:lineRule="auto"/>
        <w:ind w:firstLine="1440" w:firstLineChars="6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丘永亮  广东工贸职业技术学院       副教授</w:t>
      </w:r>
    </w:p>
    <w:p>
      <w:pPr>
        <w:spacing w:line="360" w:lineRule="auto"/>
        <w:ind w:firstLine="1440" w:firstLineChars="6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邵超城  广东工贸职业技术学院       副教授</w:t>
      </w:r>
    </w:p>
    <w:p>
      <w:pPr>
        <w:spacing w:line="360" w:lineRule="auto"/>
        <w:ind w:firstLine="1440" w:firstLineChars="6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刘益标  广东工贸职业技术学院       副教授</w:t>
      </w:r>
    </w:p>
    <w:p>
      <w:pPr>
        <w:spacing w:line="360" w:lineRule="auto"/>
        <w:ind w:firstLine="1440" w:firstLineChars="6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孙 </w:t>
      </w:r>
      <w:r>
        <w:rPr>
          <w:rFonts w:cs="宋体" w:asciiTheme="majorEastAsia" w:hAnsiTheme="majorEastAsia" w:eastAsiaTheme="majorEastAsia"/>
          <w:sz w:val="24"/>
          <w:szCs w:val="24"/>
        </w:rPr>
        <w:t xml:space="preserve"> </w:t>
      </w:r>
      <w:r>
        <w:rPr>
          <w:rFonts w:hint="eastAsia" w:cs="宋体" w:asciiTheme="majorEastAsia" w:hAnsiTheme="majorEastAsia" w:eastAsiaTheme="majorEastAsia"/>
          <w:sz w:val="24"/>
          <w:szCs w:val="24"/>
        </w:rPr>
        <w:t>涛</w:t>
      </w:r>
      <w:r>
        <w:rPr>
          <w:rFonts w:cs="宋体" w:asciiTheme="majorEastAsia" w:hAnsiTheme="majorEastAsia" w:eastAsiaTheme="majorEastAsia"/>
          <w:sz w:val="24"/>
          <w:szCs w:val="24"/>
        </w:rPr>
        <w:t xml:space="preserve">  </w:t>
      </w:r>
      <w:r>
        <w:rPr>
          <w:rFonts w:hint="eastAsia" w:cs="宋体" w:asciiTheme="majorEastAsia" w:hAnsiTheme="majorEastAsia" w:eastAsiaTheme="majorEastAsia"/>
          <w:sz w:val="24"/>
          <w:szCs w:val="24"/>
        </w:rPr>
        <w:t>广东工贸职业技术学院       副教授</w:t>
      </w:r>
    </w:p>
    <w:p>
      <w:pPr>
        <w:spacing w:line="360" w:lineRule="auto"/>
        <w:ind w:right="1200"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color w:val="FF0000"/>
          <w:sz w:val="24"/>
          <w:szCs w:val="24"/>
        </w:rPr>
        <w:t xml:space="preserve"> </w:t>
      </w:r>
      <w:r>
        <w:rPr>
          <w:rFonts w:cs="宋体" w:asciiTheme="majorEastAsia" w:hAnsiTheme="majorEastAsia" w:eastAsiaTheme="majorEastAsia"/>
          <w:color w:val="FF0000"/>
          <w:sz w:val="24"/>
          <w:szCs w:val="24"/>
        </w:rPr>
        <w:t xml:space="preserve">       </w:t>
      </w:r>
      <w:r>
        <w:rPr>
          <w:rFonts w:hint="eastAsia" w:cs="宋体" w:asciiTheme="majorEastAsia" w:hAnsiTheme="majorEastAsia" w:eastAsiaTheme="majorEastAsia"/>
          <w:sz w:val="24"/>
          <w:szCs w:val="24"/>
        </w:rPr>
        <w:t xml:space="preserve">傅仁轩 </w:t>
      </w:r>
      <w:r>
        <w:rPr>
          <w:rFonts w:cs="宋体" w:asciiTheme="majorEastAsia" w:hAnsiTheme="majorEastAsia" w:eastAsiaTheme="majorEastAsia"/>
          <w:color w:val="FF0000"/>
          <w:sz w:val="24"/>
          <w:szCs w:val="24"/>
        </w:rPr>
        <w:t xml:space="preserve"> </w:t>
      </w:r>
      <w:r>
        <w:rPr>
          <w:rFonts w:hint="eastAsia" w:cs="宋体" w:asciiTheme="majorEastAsia" w:hAnsiTheme="majorEastAsia" w:eastAsiaTheme="majorEastAsia"/>
          <w:sz w:val="24"/>
          <w:szCs w:val="24"/>
        </w:rPr>
        <w:t xml:space="preserve">广东工贸职业技术学院       </w:t>
      </w:r>
      <w:r>
        <w:rPr>
          <w:rFonts w:hint="eastAsia" w:ascii="宋体" w:hAnsi="宋体"/>
          <w:sz w:val="24"/>
          <w:szCs w:val="24"/>
        </w:rPr>
        <w:t>研究员级高级工程师</w:t>
      </w:r>
    </w:p>
    <w:p>
      <w:pPr>
        <w:spacing w:line="360" w:lineRule="auto"/>
        <w:ind w:right="1200" w:firstLine="1440" w:firstLineChars="600"/>
        <w:rPr>
          <w:rFonts w:hint="eastAsia" w:cs="宋体" w:asciiTheme="majorEastAsia" w:hAnsiTheme="majorEastAsia" w:eastAsiaTheme="majorEastAsia"/>
          <w:color w:val="FF0000"/>
          <w:sz w:val="24"/>
          <w:szCs w:val="24"/>
          <w:lang w:eastAsia="zh-CN"/>
        </w:rPr>
      </w:pPr>
      <w:r>
        <w:rPr>
          <w:rFonts w:hint="eastAsia" w:cs="宋体" w:asciiTheme="majorEastAsia" w:hAnsiTheme="majorEastAsia" w:eastAsiaTheme="majorEastAsia"/>
          <w:sz w:val="24"/>
          <w:szCs w:val="24"/>
          <w:lang w:eastAsia="zh-CN"/>
        </w:rPr>
        <w:t>曾洁琼</w:t>
      </w:r>
      <w:r>
        <w:rPr>
          <w:rFonts w:hint="eastAsia" w:cs="宋体" w:asciiTheme="majorEastAsia" w:hAnsiTheme="majorEastAsia" w:eastAsiaTheme="majorEastAsia"/>
          <w:sz w:val="24"/>
          <w:szCs w:val="24"/>
        </w:rPr>
        <w:t xml:space="preserve"> </w:t>
      </w:r>
      <w:r>
        <w:rPr>
          <w:rFonts w:cs="宋体" w:asciiTheme="majorEastAsia" w:hAnsiTheme="majorEastAsia" w:eastAsiaTheme="majorEastAsia"/>
          <w:sz w:val="24"/>
          <w:szCs w:val="24"/>
        </w:rPr>
        <w:t xml:space="preserve"> </w:t>
      </w:r>
      <w:r>
        <w:rPr>
          <w:rFonts w:hint="eastAsia" w:cs="宋体" w:asciiTheme="majorEastAsia" w:hAnsiTheme="majorEastAsia" w:eastAsiaTheme="majorEastAsia"/>
          <w:sz w:val="24"/>
          <w:szCs w:val="24"/>
        </w:rPr>
        <w:t xml:space="preserve">广东工贸职业技术学院 </w:t>
      </w:r>
      <w:r>
        <w:rPr>
          <w:rFonts w:cs="宋体" w:asciiTheme="majorEastAsia" w:hAnsiTheme="majorEastAsia" w:eastAsiaTheme="majorEastAsia"/>
          <w:sz w:val="24"/>
          <w:szCs w:val="24"/>
        </w:rPr>
        <w:t xml:space="preserve">      </w:t>
      </w:r>
      <w:r>
        <w:rPr>
          <w:rFonts w:hint="eastAsia" w:cs="宋体" w:asciiTheme="majorEastAsia" w:hAnsiTheme="majorEastAsia" w:eastAsiaTheme="majorEastAsia"/>
          <w:sz w:val="24"/>
          <w:szCs w:val="24"/>
          <w:lang w:eastAsia="zh-CN"/>
        </w:rPr>
        <w:t>讲师</w:t>
      </w:r>
    </w:p>
    <w:p>
      <w:pPr>
        <w:spacing w:line="360" w:lineRule="auto"/>
        <w:ind w:right="1200"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2.企业参与人：</w:t>
      </w:r>
    </w:p>
    <w:p>
      <w:pPr>
        <w:spacing w:line="360" w:lineRule="auto"/>
        <w:ind w:right="1200" w:firstLine="960" w:firstLineChars="400"/>
        <w:rPr>
          <w:rFonts w:cs="宋体" w:asciiTheme="majorEastAsia" w:hAnsiTheme="majorEastAsia" w:eastAsiaTheme="majorEastAsia"/>
          <w:sz w:val="24"/>
          <w:szCs w:val="24"/>
        </w:rPr>
      </w:pPr>
      <w:r>
        <w:rPr>
          <w:rFonts w:hint="eastAsia" w:ascii="Times New Roman" w:hAnsi="Times New Roman" w:eastAsia="宋体" w:cs="Times New Roman"/>
          <w:bCs/>
          <w:color w:val="000000" w:themeColor="text1"/>
          <w:sz w:val="24"/>
          <w:szCs w:val="24"/>
          <w14:textFill>
            <w14:solidFill>
              <w14:schemeClr w14:val="tx1"/>
            </w14:solidFill>
          </w14:textFill>
        </w:rPr>
        <w:t xml:space="preserve">周建平 </w:t>
      </w:r>
      <w:r>
        <w:rPr>
          <w:rFonts w:hint="eastAsia" w:cs="宋体" w:asciiTheme="majorEastAsia" w:hAnsiTheme="majorEastAsia" w:eastAsiaTheme="majorEastAsia"/>
          <w:sz w:val="24"/>
          <w:szCs w:val="24"/>
        </w:rPr>
        <w:t>广东利元亨智能装备股份有限公司   工程师/高级经理</w:t>
      </w:r>
    </w:p>
    <w:p>
      <w:pPr>
        <w:snapToGrid w:val="0"/>
        <w:rPr>
          <w:rFonts w:cs="宋体" w:asciiTheme="majorEastAsia" w:hAnsiTheme="majorEastAsia" w:eastAsiaTheme="majorEastAsia"/>
          <w:color w:val="FF0000"/>
          <w:sz w:val="24"/>
          <w:szCs w:val="24"/>
        </w:rPr>
      </w:pPr>
      <w:r>
        <w:rPr>
          <w:rFonts w:hint="eastAsia" w:cs="宋体" w:asciiTheme="majorEastAsia" w:hAnsiTheme="majorEastAsia" w:eastAsiaTheme="majorEastAsia"/>
          <w:color w:val="FF0000"/>
          <w:sz w:val="24"/>
          <w:szCs w:val="24"/>
        </w:rPr>
        <w:t xml:space="preserve"> </w:t>
      </w:r>
      <w:r>
        <w:rPr>
          <w:rFonts w:cs="宋体" w:asciiTheme="majorEastAsia" w:hAnsiTheme="majorEastAsia" w:eastAsiaTheme="majorEastAsia"/>
          <w:color w:val="FF0000"/>
          <w:sz w:val="24"/>
          <w:szCs w:val="24"/>
        </w:rPr>
        <w:t xml:space="preserve">       </w:t>
      </w:r>
      <w:r>
        <w:rPr>
          <w:rFonts w:hint="eastAsia" w:ascii="宋体" w:hAnsi="宋体"/>
          <w:sz w:val="24"/>
        </w:rPr>
        <w:t xml:space="preserve">刘 </w:t>
      </w:r>
      <w:r>
        <w:rPr>
          <w:rFonts w:ascii="宋体" w:hAnsi="宋体"/>
          <w:sz w:val="24"/>
        </w:rPr>
        <w:t xml:space="preserve"> </w:t>
      </w:r>
      <w:r>
        <w:rPr>
          <w:rFonts w:hint="eastAsia" w:ascii="宋体" w:hAnsi="宋体"/>
          <w:sz w:val="24"/>
        </w:rPr>
        <w:t>立</w:t>
      </w:r>
      <w:r>
        <w:rPr>
          <w:rFonts w:hint="eastAsia" w:ascii="宋体" w:hAnsi="宋体"/>
          <w:sz w:val="24"/>
          <w:szCs w:val="24"/>
        </w:rPr>
        <w:t xml:space="preserve"> </w:t>
      </w:r>
      <w:r>
        <w:rPr>
          <w:rFonts w:hint="eastAsia" w:ascii="宋体" w:hAnsi="宋体"/>
          <w:sz w:val="24"/>
        </w:rPr>
        <w:t xml:space="preserve">东莞新能德科技有限公司 </w:t>
      </w:r>
      <w:r>
        <w:rPr>
          <w:rFonts w:ascii="宋体" w:hAnsi="宋体"/>
          <w:sz w:val="24"/>
        </w:rPr>
        <w:t xml:space="preserve">          </w:t>
      </w:r>
      <w:r>
        <w:rPr>
          <w:rFonts w:hint="eastAsia" w:ascii="宋体" w:hAnsi="宋体"/>
          <w:sz w:val="24"/>
        </w:rPr>
        <w:t>运营部经理</w:t>
      </w:r>
    </w:p>
    <w:p>
      <w:pPr>
        <w:spacing w:line="360" w:lineRule="auto"/>
        <w:ind w:right="1200" w:firstLine="480" w:firstLineChars="200"/>
        <w:rPr>
          <w:rFonts w:cs="宋体" w:asciiTheme="majorEastAsia" w:hAnsiTheme="majorEastAsia" w:eastAsiaTheme="majorEastAsia"/>
          <w:color w:val="FF0000"/>
          <w:sz w:val="24"/>
          <w:szCs w:val="24"/>
        </w:rPr>
      </w:pPr>
    </w:p>
    <w:p>
      <w:pPr>
        <w:spacing w:line="360" w:lineRule="auto"/>
        <w:ind w:firstLine="6720" w:firstLineChars="2800"/>
        <w:rPr>
          <w:rFonts w:ascii="宋体" w:hAnsi="宋体" w:eastAsia="宋体" w:cs="宋体"/>
          <w:sz w:val="24"/>
          <w:szCs w:val="24"/>
        </w:rPr>
      </w:pPr>
      <w:r>
        <w:rPr>
          <w:rFonts w:hint="eastAsia" w:cs="宋体" w:asciiTheme="majorEastAsia" w:hAnsiTheme="majorEastAsia" w:eastAsiaTheme="majorEastAsia"/>
          <w:sz w:val="24"/>
          <w:szCs w:val="24"/>
        </w:rPr>
        <w:t>机电工程</w:t>
      </w:r>
      <w:r>
        <w:rPr>
          <w:rFonts w:hint="eastAsia" w:ascii="宋体" w:hAnsi="宋体" w:eastAsia="宋体" w:cs="宋体"/>
          <w:sz w:val="24"/>
          <w:szCs w:val="24"/>
        </w:rPr>
        <w:t>学院</w:t>
      </w:r>
    </w:p>
    <w:p>
      <w:pPr>
        <w:spacing w:line="360" w:lineRule="auto"/>
        <w:ind w:firstLine="5520" w:firstLineChars="23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广东利元亨智能装备股份有限公司</w:t>
      </w:r>
    </w:p>
    <w:p>
      <w:pPr>
        <w:spacing w:line="360" w:lineRule="auto"/>
        <w:ind w:right="960" w:firstLine="480" w:firstLineChars="200"/>
        <w:jc w:val="right"/>
        <w:rPr>
          <w:rFonts w:ascii="宋体" w:hAnsi="宋体"/>
          <w:sz w:val="24"/>
        </w:rPr>
      </w:pPr>
      <w:r>
        <w:rPr>
          <w:rFonts w:hint="eastAsia" w:ascii="宋体" w:hAnsi="宋体"/>
          <w:sz w:val="24"/>
        </w:rPr>
        <w:t>东莞新能德科技有限公司</w:t>
      </w:r>
    </w:p>
    <w:p>
      <w:pPr>
        <w:spacing w:line="360" w:lineRule="auto"/>
        <w:ind w:right="1440" w:firstLine="480" w:firstLineChars="200"/>
        <w:jc w:val="right"/>
        <w:rPr>
          <w:rFonts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年3月</w:t>
      </w:r>
    </w:p>
    <w:p>
      <w:pPr>
        <w:widowControl/>
        <w:jc w:val="left"/>
        <w:rPr>
          <w:rFonts w:ascii="宋体" w:hAnsi="宋体" w:eastAsia="宋体" w:cs="宋体"/>
          <w:sz w:val="24"/>
          <w:szCs w:val="24"/>
        </w:rPr>
      </w:pPr>
      <w:r>
        <w:rPr>
          <w:rFonts w:ascii="宋体" w:hAnsi="宋体" w:eastAsia="宋体" w:cs="宋体"/>
          <w:sz w:val="24"/>
          <w:szCs w:val="24"/>
        </w:rPr>
        <w:br w:type="page"/>
      </w:r>
    </w:p>
    <w:p>
      <w:pPr>
        <w:widowControl/>
        <w:jc w:val="left"/>
        <w:rPr>
          <w:rFonts w:ascii="宋体" w:hAnsi="宋体" w:eastAsia="宋体" w:cs="宋体"/>
          <w:sz w:val="24"/>
          <w:szCs w:val="24"/>
        </w:rPr>
      </w:pPr>
    </w:p>
    <w:sdt>
      <w:sdtPr>
        <w:rPr>
          <w:b/>
          <w:bCs/>
          <w:lang w:val="zh-CN"/>
        </w:rPr>
        <w:id w:val="-533261476"/>
        <w:docPartObj>
          <w:docPartGallery w:val="Table of Contents"/>
          <w:docPartUnique/>
        </w:docPartObj>
      </w:sdtPr>
      <w:sdtEndPr>
        <w:rPr>
          <w:b w:val="0"/>
          <w:bCs w:val="0"/>
          <w:lang w:val="zh-CN"/>
        </w:rPr>
      </w:sdtEndPr>
      <w:sdtContent>
        <w:p>
          <w:pPr>
            <w:jc w:val="center"/>
            <w:rPr>
              <w:b/>
              <w:bCs/>
              <w:lang w:val="zh-CN"/>
            </w:rPr>
          </w:pPr>
        </w:p>
        <w:p>
          <w:pPr>
            <w:jc w:val="center"/>
            <w:rPr>
              <w:rFonts w:ascii="黑体" w:hAnsi="黑体" w:eastAsia="黑体"/>
              <w:color w:val="000000" w:themeColor="text1"/>
              <w:sz w:val="32"/>
              <w:szCs w:val="36"/>
              <w:lang w:val="zh-CN"/>
              <w14:textFill>
                <w14:solidFill>
                  <w14:schemeClr w14:val="tx1"/>
                </w14:solidFill>
              </w14:textFill>
            </w:rPr>
          </w:pPr>
          <w:r>
            <w:rPr>
              <w:rFonts w:ascii="黑体" w:hAnsi="黑体" w:eastAsia="黑体"/>
              <w:color w:val="000000" w:themeColor="text1"/>
              <w:sz w:val="32"/>
              <w:szCs w:val="36"/>
              <w:lang w:val="zh-CN"/>
              <w14:textFill>
                <w14:solidFill>
                  <w14:schemeClr w14:val="tx1"/>
                </w14:solidFill>
              </w14:textFill>
            </w:rPr>
            <w:t>目</w:t>
          </w:r>
          <w:r>
            <w:rPr>
              <w:rFonts w:hint="eastAsia" w:ascii="黑体" w:hAnsi="黑体" w:eastAsia="黑体"/>
              <w:color w:val="000000" w:themeColor="text1"/>
              <w:sz w:val="32"/>
              <w:szCs w:val="36"/>
              <w:lang w:val="zh-CN"/>
              <w14:textFill>
                <w14:solidFill>
                  <w14:schemeClr w14:val="tx1"/>
                </w14:solidFill>
              </w14:textFill>
            </w:rPr>
            <w:t xml:space="preserve"> </w:t>
          </w:r>
          <w:r>
            <w:rPr>
              <w:rFonts w:ascii="黑体" w:hAnsi="黑体" w:eastAsia="黑体"/>
              <w:color w:val="000000" w:themeColor="text1"/>
              <w:sz w:val="32"/>
              <w:szCs w:val="36"/>
              <w:lang w:val="zh-CN"/>
              <w14:textFill>
                <w14:solidFill>
                  <w14:schemeClr w14:val="tx1"/>
                </w14:solidFill>
              </w14:textFill>
            </w:rPr>
            <w:t xml:space="preserve"> 录</w:t>
          </w:r>
        </w:p>
        <w:p>
          <w:pPr>
            <w:jc w:val="center"/>
            <w:rPr>
              <w:color w:val="000000" w:themeColor="text1"/>
              <w:sz w:val="28"/>
              <w:szCs w:val="32"/>
              <w14:textFill>
                <w14:solidFill>
                  <w14:schemeClr w14:val="tx1"/>
                </w14:solidFill>
              </w14:textFill>
            </w:rPr>
          </w:pPr>
        </w:p>
        <w:p>
          <w:pPr>
            <w:pStyle w:val="11"/>
            <w:tabs>
              <w:tab w:val="right" w:leader="dot" w:pos="9436"/>
            </w:tabs>
          </w:pPr>
          <w:r>
            <w:fldChar w:fldCharType="begin"/>
          </w:r>
          <w:r>
            <w:instrText xml:space="preserve"> TOC \o "1-3" \h \z \u </w:instrText>
          </w:r>
          <w:r>
            <w:fldChar w:fldCharType="separate"/>
          </w:r>
          <w:r>
            <w:fldChar w:fldCharType="begin"/>
          </w:r>
          <w:r>
            <w:instrText xml:space="preserve"> HYPERLINK \l "_Toc89793261" </w:instrText>
          </w:r>
          <w:r>
            <w:fldChar w:fldCharType="separate"/>
          </w:r>
          <w:r>
            <w:rPr>
              <w:rStyle w:val="19"/>
            </w:rPr>
            <w:t>一、专业名称及代码</w:t>
          </w:r>
          <w:r>
            <w:tab/>
          </w:r>
          <w:r>
            <w:fldChar w:fldCharType="begin"/>
          </w:r>
          <w:r>
            <w:instrText xml:space="preserve"> PAGEREF _Toc89793261 \h </w:instrText>
          </w:r>
          <w:r>
            <w:fldChar w:fldCharType="separate"/>
          </w:r>
          <w:r>
            <w:t>4</w:t>
          </w:r>
          <w:r>
            <w:fldChar w:fldCharType="end"/>
          </w:r>
          <w:r>
            <w:fldChar w:fldCharType="end"/>
          </w:r>
        </w:p>
        <w:p>
          <w:pPr>
            <w:pStyle w:val="11"/>
            <w:tabs>
              <w:tab w:val="right" w:leader="dot" w:pos="9436"/>
            </w:tabs>
          </w:pPr>
          <w:r>
            <w:fldChar w:fldCharType="begin"/>
          </w:r>
          <w:r>
            <w:instrText xml:space="preserve"> HYPERLINK \l "_Toc89793262" </w:instrText>
          </w:r>
          <w:r>
            <w:fldChar w:fldCharType="separate"/>
          </w:r>
          <w:r>
            <w:rPr>
              <w:rStyle w:val="19"/>
            </w:rPr>
            <w:t>二、入学要求</w:t>
          </w:r>
          <w:r>
            <w:tab/>
          </w:r>
          <w:r>
            <w:fldChar w:fldCharType="begin"/>
          </w:r>
          <w:r>
            <w:instrText xml:space="preserve"> PAGEREF _Toc89793262 \h </w:instrText>
          </w:r>
          <w:r>
            <w:fldChar w:fldCharType="separate"/>
          </w:r>
          <w:r>
            <w:t>4</w:t>
          </w:r>
          <w:r>
            <w:fldChar w:fldCharType="end"/>
          </w:r>
          <w:r>
            <w:fldChar w:fldCharType="end"/>
          </w:r>
        </w:p>
        <w:p>
          <w:pPr>
            <w:pStyle w:val="11"/>
            <w:tabs>
              <w:tab w:val="right" w:leader="dot" w:pos="9436"/>
            </w:tabs>
          </w:pPr>
          <w:r>
            <w:fldChar w:fldCharType="begin"/>
          </w:r>
          <w:r>
            <w:instrText xml:space="preserve"> HYPERLINK \l "_Toc89793263" </w:instrText>
          </w:r>
          <w:r>
            <w:fldChar w:fldCharType="separate"/>
          </w:r>
          <w:r>
            <w:rPr>
              <w:rStyle w:val="19"/>
            </w:rPr>
            <w:t>三、修业年限</w:t>
          </w:r>
          <w:r>
            <w:tab/>
          </w:r>
          <w:r>
            <w:fldChar w:fldCharType="begin"/>
          </w:r>
          <w:r>
            <w:instrText xml:space="preserve"> PAGEREF _Toc89793263 \h </w:instrText>
          </w:r>
          <w:r>
            <w:fldChar w:fldCharType="separate"/>
          </w:r>
          <w:r>
            <w:t>4</w:t>
          </w:r>
          <w:r>
            <w:fldChar w:fldCharType="end"/>
          </w:r>
          <w:r>
            <w:fldChar w:fldCharType="end"/>
          </w:r>
        </w:p>
        <w:p>
          <w:pPr>
            <w:pStyle w:val="11"/>
            <w:tabs>
              <w:tab w:val="right" w:leader="dot" w:pos="9436"/>
            </w:tabs>
          </w:pPr>
          <w:r>
            <w:fldChar w:fldCharType="begin"/>
          </w:r>
          <w:r>
            <w:instrText xml:space="preserve"> HYPERLINK \l "_Toc89793264" </w:instrText>
          </w:r>
          <w:r>
            <w:fldChar w:fldCharType="separate"/>
          </w:r>
          <w:r>
            <w:rPr>
              <w:rStyle w:val="19"/>
            </w:rPr>
            <w:t>四、职业面向</w:t>
          </w:r>
          <w:r>
            <w:tab/>
          </w:r>
          <w:r>
            <w:fldChar w:fldCharType="begin"/>
          </w:r>
          <w:r>
            <w:instrText xml:space="preserve"> PAGEREF _Toc89793264 \h </w:instrText>
          </w:r>
          <w:r>
            <w:fldChar w:fldCharType="separate"/>
          </w:r>
          <w:r>
            <w:t>4</w:t>
          </w:r>
          <w:r>
            <w:fldChar w:fldCharType="end"/>
          </w:r>
          <w:r>
            <w:fldChar w:fldCharType="end"/>
          </w:r>
        </w:p>
        <w:p>
          <w:pPr>
            <w:pStyle w:val="11"/>
            <w:tabs>
              <w:tab w:val="right" w:leader="dot" w:pos="9436"/>
            </w:tabs>
          </w:pPr>
          <w:r>
            <w:fldChar w:fldCharType="begin"/>
          </w:r>
          <w:r>
            <w:instrText xml:space="preserve"> HYPERLINK \l "_Toc89793265" </w:instrText>
          </w:r>
          <w:r>
            <w:fldChar w:fldCharType="separate"/>
          </w:r>
          <w:r>
            <w:rPr>
              <w:rStyle w:val="19"/>
            </w:rPr>
            <w:t>五、培养目标与培养规格</w:t>
          </w:r>
          <w:r>
            <w:tab/>
          </w:r>
          <w:r>
            <w:fldChar w:fldCharType="begin"/>
          </w:r>
          <w:r>
            <w:instrText xml:space="preserve"> PAGEREF _Toc89793265 \h </w:instrText>
          </w:r>
          <w:r>
            <w:fldChar w:fldCharType="separate"/>
          </w:r>
          <w:r>
            <w:t>4</w:t>
          </w:r>
          <w:r>
            <w:fldChar w:fldCharType="end"/>
          </w:r>
          <w:r>
            <w:fldChar w:fldCharType="end"/>
          </w:r>
        </w:p>
        <w:p>
          <w:pPr>
            <w:pStyle w:val="12"/>
            <w:tabs>
              <w:tab w:val="right" w:leader="dot" w:pos="9436"/>
            </w:tabs>
          </w:pPr>
          <w:r>
            <w:fldChar w:fldCharType="begin"/>
          </w:r>
          <w:r>
            <w:instrText xml:space="preserve"> HYPERLINK \l "_Toc89793266" </w:instrText>
          </w:r>
          <w:r>
            <w:fldChar w:fldCharType="separate"/>
          </w:r>
          <w:r>
            <w:rPr>
              <w:rStyle w:val="19"/>
            </w:rPr>
            <w:t>（一）培养目标</w:t>
          </w:r>
          <w:r>
            <w:tab/>
          </w:r>
          <w:r>
            <w:fldChar w:fldCharType="begin"/>
          </w:r>
          <w:r>
            <w:instrText xml:space="preserve"> PAGEREF _Toc89793266 \h </w:instrText>
          </w:r>
          <w:r>
            <w:fldChar w:fldCharType="separate"/>
          </w:r>
          <w:r>
            <w:t>4</w:t>
          </w:r>
          <w:r>
            <w:fldChar w:fldCharType="end"/>
          </w:r>
          <w:r>
            <w:fldChar w:fldCharType="end"/>
          </w:r>
        </w:p>
        <w:p>
          <w:pPr>
            <w:pStyle w:val="12"/>
            <w:tabs>
              <w:tab w:val="right" w:leader="dot" w:pos="9436"/>
            </w:tabs>
          </w:pPr>
          <w:r>
            <w:fldChar w:fldCharType="begin"/>
          </w:r>
          <w:r>
            <w:instrText xml:space="preserve"> HYPERLINK \l "_Toc89793267" </w:instrText>
          </w:r>
          <w:r>
            <w:fldChar w:fldCharType="separate"/>
          </w:r>
          <w:r>
            <w:rPr>
              <w:rStyle w:val="19"/>
            </w:rPr>
            <w:t>（二）培养规格</w:t>
          </w:r>
          <w:r>
            <w:tab/>
          </w:r>
          <w:r>
            <w:fldChar w:fldCharType="begin"/>
          </w:r>
          <w:r>
            <w:instrText xml:space="preserve"> PAGEREF _Toc89793267 \h </w:instrText>
          </w:r>
          <w:r>
            <w:fldChar w:fldCharType="separate"/>
          </w:r>
          <w:r>
            <w:t>5</w:t>
          </w:r>
          <w:r>
            <w:fldChar w:fldCharType="end"/>
          </w:r>
          <w:r>
            <w:fldChar w:fldCharType="end"/>
          </w:r>
        </w:p>
        <w:p>
          <w:pPr>
            <w:pStyle w:val="11"/>
            <w:tabs>
              <w:tab w:val="right" w:leader="dot" w:pos="9436"/>
            </w:tabs>
          </w:pPr>
          <w:r>
            <w:fldChar w:fldCharType="begin"/>
          </w:r>
          <w:r>
            <w:instrText xml:space="preserve"> HYPERLINK \l "_Toc89793271" </w:instrText>
          </w:r>
          <w:r>
            <w:fldChar w:fldCharType="separate"/>
          </w:r>
          <w:r>
            <w:rPr>
              <w:rStyle w:val="19"/>
            </w:rPr>
            <w:t>六、课程设置及要求</w:t>
          </w:r>
          <w:r>
            <w:tab/>
          </w:r>
          <w:r>
            <w:fldChar w:fldCharType="begin"/>
          </w:r>
          <w:r>
            <w:instrText xml:space="preserve"> PAGEREF _Toc89793271 \h </w:instrText>
          </w:r>
          <w:r>
            <w:fldChar w:fldCharType="separate"/>
          </w:r>
          <w:r>
            <w:t>5</w:t>
          </w:r>
          <w:r>
            <w:fldChar w:fldCharType="end"/>
          </w:r>
          <w:r>
            <w:fldChar w:fldCharType="end"/>
          </w:r>
        </w:p>
        <w:p>
          <w:pPr>
            <w:pStyle w:val="12"/>
            <w:tabs>
              <w:tab w:val="right" w:leader="dot" w:pos="9436"/>
            </w:tabs>
          </w:pPr>
          <w:r>
            <w:fldChar w:fldCharType="begin"/>
          </w:r>
          <w:r>
            <w:instrText xml:space="preserve"> HYPERLINK \l "_Toc89793272" </w:instrText>
          </w:r>
          <w:r>
            <w:fldChar w:fldCharType="separate"/>
          </w:r>
          <w:r>
            <w:rPr>
              <w:rStyle w:val="19"/>
            </w:rPr>
            <w:t>（一）公共基础课程</w:t>
          </w:r>
          <w:r>
            <w:tab/>
          </w:r>
          <w:r>
            <w:fldChar w:fldCharType="begin"/>
          </w:r>
          <w:r>
            <w:instrText xml:space="preserve"> PAGEREF _Toc89793272 \h </w:instrText>
          </w:r>
          <w:r>
            <w:fldChar w:fldCharType="separate"/>
          </w:r>
          <w:r>
            <w:t>5</w:t>
          </w:r>
          <w:r>
            <w:fldChar w:fldCharType="end"/>
          </w:r>
          <w:r>
            <w:fldChar w:fldCharType="end"/>
          </w:r>
        </w:p>
        <w:p>
          <w:pPr>
            <w:pStyle w:val="12"/>
            <w:tabs>
              <w:tab w:val="right" w:leader="dot" w:pos="9436"/>
            </w:tabs>
          </w:pPr>
          <w:r>
            <w:fldChar w:fldCharType="begin"/>
          </w:r>
          <w:r>
            <w:instrText xml:space="preserve"> HYPERLINK \l "_Toc89793276" </w:instrText>
          </w:r>
          <w:r>
            <w:fldChar w:fldCharType="separate"/>
          </w:r>
          <w:r>
            <w:rPr>
              <w:rStyle w:val="19"/>
            </w:rPr>
            <w:t>（二）专业（技能）课程</w:t>
          </w:r>
          <w:r>
            <w:tab/>
          </w:r>
          <w:r>
            <w:fldChar w:fldCharType="begin"/>
          </w:r>
          <w:r>
            <w:instrText xml:space="preserve"> PAGEREF _Toc89793276 \h </w:instrText>
          </w:r>
          <w:r>
            <w:fldChar w:fldCharType="separate"/>
          </w:r>
          <w:r>
            <w:t>11</w:t>
          </w:r>
          <w:r>
            <w:fldChar w:fldCharType="end"/>
          </w:r>
          <w:r>
            <w:fldChar w:fldCharType="end"/>
          </w:r>
        </w:p>
        <w:p>
          <w:pPr>
            <w:pStyle w:val="12"/>
            <w:tabs>
              <w:tab w:val="right" w:leader="dot" w:pos="9436"/>
            </w:tabs>
          </w:pPr>
          <w:r>
            <w:fldChar w:fldCharType="begin"/>
          </w:r>
          <w:r>
            <w:instrText xml:space="preserve"> HYPERLINK \l "_Toc89793280" </w:instrText>
          </w:r>
          <w:r>
            <w:fldChar w:fldCharType="separate"/>
          </w:r>
          <w:r>
            <w:rPr>
              <w:rStyle w:val="19"/>
            </w:rPr>
            <w:t>（三）各类课程学时学分比例表</w:t>
          </w:r>
          <w:r>
            <w:tab/>
          </w:r>
          <w:r>
            <w:fldChar w:fldCharType="begin"/>
          </w:r>
          <w:r>
            <w:instrText xml:space="preserve"> PAGEREF _Toc89793280 \h </w:instrText>
          </w:r>
          <w:r>
            <w:fldChar w:fldCharType="separate"/>
          </w:r>
          <w:r>
            <w:t>18</w:t>
          </w:r>
          <w:r>
            <w:fldChar w:fldCharType="end"/>
          </w:r>
          <w:r>
            <w:fldChar w:fldCharType="end"/>
          </w:r>
        </w:p>
        <w:p>
          <w:pPr>
            <w:pStyle w:val="11"/>
            <w:tabs>
              <w:tab w:val="right" w:leader="dot" w:pos="9436"/>
            </w:tabs>
          </w:pPr>
          <w:r>
            <w:fldChar w:fldCharType="begin"/>
          </w:r>
          <w:r>
            <w:instrText xml:space="preserve"> HYPERLINK \l "_Toc89793281" </w:instrText>
          </w:r>
          <w:r>
            <w:fldChar w:fldCharType="separate"/>
          </w:r>
          <w:r>
            <w:rPr>
              <w:rStyle w:val="19"/>
            </w:rPr>
            <w:t>七、教学进程总体安排</w:t>
          </w:r>
          <w:r>
            <w:tab/>
          </w:r>
          <w:r>
            <w:fldChar w:fldCharType="begin"/>
          </w:r>
          <w:r>
            <w:instrText xml:space="preserve"> PAGEREF _Toc89793281 \h </w:instrText>
          </w:r>
          <w:r>
            <w:fldChar w:fldCharType="separate"/>
          </w:r>
          <w:r>
            <w:t>18</w:t>
          </w:r>
          <w:r>
            <w:fldChar w:fldCharType="end"/>
          </w:r>
          <w:r>
            <w:fldChar w:fldCharType="end"/>
          </w:r>
        </w:p>
        <w:p>
          <w:pPr>
            <w:pStyle w:val="12"/>
            <w:tabs>
              <w:tab w:val="right" w:leader="dot" w:pos="9436"/>
            </w:tabs>
          </w:pPr>
          <w:r>
            <w:fldChar w:fldCharType="begin"/>
          </w:r>
          <w:r>
            <w:instrText xml:space="preserve"> HYPERLINK \l "_Toc89793282" </w:instrText>
          </w:r>
          <w:r>
            <w:fldChar w:fldCharType="separate"/>
          </w:r>
          <w:r>
            <w:rPr>
              <w:rStyle w:val="19"/>
            </w:rPr>
            <w:t>（一）专业教学计划表</w:t>
          </w:r>
          <w:r>
            <w:tab/>
          </w:r>
          <w:r>
            <w:fldChar w:fldCharType="begin"/>
          </w:r>
          <w:r>
            <w:instrText xml:space="preserve"> PAGEREF _Toc89793282 \h </w:instrText>
          </w:r>
          <w:r>
            <w:fldChar w:fldCharType="separate"/>
          </w:r>
          <w:r>
            <w:t>18</w:t>
          </w:r>
          <w:r>
            <w:fldChar w:fldCharType="end"/>
          </w:r>
          <w:r>
            <w:fldChar w:fldCharType="end"/>
          </w:r>
        </w:p>
        <w:p>
          <w:pPr>
            <w:pStyle w:val="12"/>
            <w:tabs>
              <w:tab w:val="right" w:leader="dot" w:pos="9436"/>
            </w:tabs>
          </w:pPr>
          <w:r>
            <w:fldChar w:fldCharType="begin"/>
          </w:r>
          <w:r>
            <w:instrText xml:space="preserve"> HYPERLINK \l "_Toc89793283" </w:instrText>
          </w:r>
          <w:r>
            <w:fldChar w:fldCharType="separate"/>
          </w:r>
          <w:r>
            <w:rPr>
              <w:rStyle w:val="19"/>
            </w:rPr>
            <w:t>（二）专业教育教学活动时间安排表</w:t>
          </w:r>
          <w:r>
            <w:tab/>
          </w:r>
          <w:r>
            <w:fldChar w:fldCharType="begin"/>
          </w:r>
          <w:r>
            <w:instrText xml:space="preserve"> PAGEREF _Toc89793283 \h </w:instrText>
          </w:r>
          <w:r>
            <w:fldChar w:fldCharType="separate"/>
          </w:r>
          <w:r>
            <w:t>19</w:t>
          </w:r>
          <w:r>
            <w:fldChar w:fldCharType="end"/>
          </w:r>
          <w:r>
            <w:fldChar w:fldCharType="end"/>
          </w:r>
        </w:p>
        <w:p>
          <w:pPr>
            <w:pStyle w:val="11"/>
            <w:tabs>
              <w:tab w:val="right" w:leader="dot" w:pos="9436"/>
            </w:tabs>
          </w:pPr>
          <w:r>
            <w:fldChar w:fldCharType="begin"/>
          </w:r>
          <w:r>
            <w:instrText xml:space="preserve"> HYPERLINK \l "_Toc89793284" </w:instrText>
          </w:r>
          <w:r>
            <w:fldChar w:fldCharType="separate"/>
          </w:r>
          <w:r>
            <w:rPr>
              <w:rStyle w:val="19"/>
            </w:rPr>
            <w:t>八、实施保障</w:t>
          </w:r>
          <w:r>
            <w:tab/>
          </w:r>
          <w:r>
            <w:fldChar w:fldCharType="begin"/>
          </w:r>
          <w:r>
            <w:instrText xml:space="preserve"> PAGEREF _Toc89793284 \h </w:instrText>
          </w:r>
          <w:r>
            <w:fldChar w:fldCharType="separate"/>
          </w:r>
          <w:r>
            <w:t>19</w:t>
          </w:r>
          <w:r>
            <w:fldChar w:fldCharType="end"/>
          </w:r>
          <w:r>
            <w:fldChar w:fldCharType="end"/>
          </w:r>
        </w:p>
        <w:p>
          <w:pPr>
            <w:pStyle w:val="12"/>
            <w:tabs>
              <w:tab w:val="right" w:leader="dot" w:pos="9436"/>
            </w:tabs>
          </w:pPr>
          <w:r>
            <w:fldChar w:fldCharType="begin"/>
          </w:r>
          <w:r>
            <w:instrText xml:space="preserve"> HYPERLINK \l "_Toc89793285" </w:instrText>
          </w:r>
          <w:r>
            <w:fldChar w:fldCharType="separate"/>
          </w:r>
          <w:r>
            <w:rPr>
              <w:rStyle w:val="19"/>
            </w:rPr>
            <w:t>（一）师资队伍</w:t>
          </w:r>
          <w:r>
            <w:tab/>
          </w:r>
          <w:r>
            <w:fldChar w:fldCharType="begin"/>
          </w:r>
          <w:r>
            <w:instrText xml:space="preserve"> PAGEREF _Toc89793285 \h </w:instrText>
          </w:r>
          <w:r>
            <w:fldChar w:fldCharType="separate"/>
          </w:r>
          <w:r>
            <w:t>19</w:t>
          </w:r>
          <w:r>
            <w:fldChar w:fldCharType="end"/>
          </w:r>
          <w:r>
            <w:fldChar w:fldCharType="end"/>
          </w:r>
        </w:p>
        <w:p>
          <w:pPr>
            <w:pStyle w:val="12"/>
            <w:tabs>
              <w:tab w:val="right" w:leader="dot" w:pos="9436"/>
            </w:tabs>
          </w:pPr>
          <w:r>
            <w:fldChar w:fldCharType="begin"/>
          </w:r>
          <w:r>
            <w:instrText xml:space="preserve"> HYPERLINK \l "_Toc89793286" </w:instrText>
          </w:r>
          <w:r>
            <w:fldChar w:fldCharType="separate"/>
          </w:r>
          <w:r>
            <w:rPr>
              <w:rStyle w:val="19"/>
            </w:rPr>
            <w:t>（二）教学设施</w:t>
          </w:r>
          <w:r>
            <w:tab/>
          </w:r>
          <w:r>
            <w:fldChar w:fldCharType="begin"/>
          </w:r>
          <w:r>
            <w:instrText xml:space="preserve"> PAGEREF _Toc89793286 \h </w:instrText>
          </w:r>
          <w:r>
            <w:fldChar w:fldCharType="separate"/>
          </w:r>
          <w:r>
            <w:t>19</w:t>
          </w:r>
          <w:r>
            <w:fldChar w:fldCharType="end"/>
          </w:r>
          <w:r>
            <w:fldChar w:fldCharType="end"/>
          </w:r>
        </w:p>
        <w:p>
          <w:pPr>
            <w:pStyle w:val="12"/>
            <w:tabs>
              <w:tab w:val="right" w:leader="dot" w:pos="9436"/>
            </w:tabs>
          </w:pPr>
          <w:r>
            <w:fldChar w:fldCharType="begin"/>
          </w:r>
          <w:r>
            <w:instrText xml:space="preserve"> HYPERLINK \l "_Toc89793287" </w:instrText>
          </w:r>
          <w:r>
            <w:fldChar w:fldCharType="separate"/>
          </w:r>
          <w:r>
            <w:rPr>
              <w:rStyle w:val="19"/>
            </w:rPr>
            <w:t>（三）教学资源</w:t>
          </w:r>
          <w:r>
            <w:tab/>
          </w:r>
          <w:r>
            <w:fldChar w:fldCharType="begin"/>
          </w:r>
          <w:r>
            <w:instrText xml:space="preserve"> PAGEREF _Toc89793287 \h </w:instrText>
          </w:r>
          <w:r>
            <w:fldChar w:fldCharType="separate"/>
          </w:r>
          <w:r>
            <w:t>21</w:t>
          </w:r>
          <w:r>
            <w:fldChar w:fldCharType="end"/>
          </w:r>
          <w:r>
            <w:fldChar w:fldCharType="end"/>
          </w:r>
        </w:p>
        <w:p>
          <w:pPr>
            <w:pStyle w:val="12"/>
            <w:tabs>
              <w:tab w:val="right" w:leader="dot" w:pos="9436"/>
            </w:tabs>
          </w:pPr>
          <w:r>
            <w:fldChar w:fldCharType="begin"/>
          </w:r>
          <w:r>
            <w:instrText xml:space="preserve"> HYPERLINK \l "_Toc89793288" </w:instrText>
          </w:r>
          <w:r>
            <w:fldChar w:fldCharType="separate"/>
          </w:r>
          <w:r>
            <w:rPr>
              <w:rStyle w:val="19"/>
            </w:rPr>
            <w:t>（四）教学方法</w:t>
          </w:r>
          <w:r>
            <w:tab/>
          </w:r>
          <w:r>
            <w:fldChar w:fldCharType="begin"/>
          </w:r>
          <w:r>
            <w:instrText xml:space="preserve"> PAGEREF _Toc89793288 \h </w:instrText>
          </w:r>
          <w:r>
            <w:fldChar w:fldCharType="separate"/>
          </w:r>
          <w:r>
            <w:t>21</w:t>
          </w:r>
          <w:r>
            <w:fldChar w:fldCharType="end"/>
          </w:r>
          <w:r>
            <w:fldChar w:fldCharType="end"/>
          </w:r>
        </w:p>
        <w:p>
          <w:pPr>
            <w:pStyle w:val="12"/>
            <w:tabs>
              <w:tab w:val="right" w:leader="dot" w:pos="9436"/>
            </w:tabs>
          </w:pPr>
          <w:r>
            <w:fldChar w:fldCharType="begin"/>
          </w:r>
          <w:r>
            <w:instrText xml:space="preserve"> HYPERLINK \l "_Toc89793289" </w:instrText>
          </w:r>
          <w:r>
            <w:fldChar w:fldCharType="separate"/>
          </w:r>
          <w:r>
            <w:rPr>
              <w:rStyle w:val="19"/>
            </w:rPr>
            <w:t>（五）学习评价</w:t>
          </w:r>
          <w:r>
            <w:tab/>
          </w:r>
          <w:r>
            <w:fldChar w:fldCharType="begin"/>
          </w:r>
          <w:r>
            <w:instrText xml:space="preserve"> PAGEREF _Toc89793289 \h </w:instrText>
          </w:r>
          <w:r>
            <w:fldChar w:fldCharType="separate"/>
          </w:r>
          <w:r>
            <w:t>22</w:t>
          </w:r>
          <w:r>
            <w:fldChar w:fldCharType="end"/>
          </w:r>
          <w:r>
            <w:fldChar w:fldCharType="end"/>
          </w:r>
        </w:p>
        <w:p>
          <w:pPr>
            <w:pStyle w:val="12"/>
            <w:tabs>
              <w:tab w:val="right" w:leader="dot" w:pos="9436"/>
            </w:tabs>
          </w:pPr>
          <w:r>
            <w:fldChar w:fldCharType="begin"/>
          </w:r>
          <w:r>
            <w:instrText xml:space="preserve"> HYPERLINK \l "_Toc89793290" </w:instrText>
          </w:r>
          <w:r>
            <w:fldChar w:fldCharType="separate"/>
          </w:r>
          <w:r>
            <w:rPr>
              <w:rStyle w:val="19"/>
            </w:rPr>
            <w:t>（六）质量管理</w:t>
          </w:r>
          <w:r>
            <w:tab/>
          </w:r>
          <w:r>
            <w:fldChar w:fldCharType="begin"/>
          </w:r>
          <w:r>
            <w:instrText xml:space="preserve"> PAGEREF _Toc89793290 \h </w:instrText>
          </w:r>
          <w:r>
            <w:fldChar w:fldCharType="separate"/>
          </w:r>
          <w:r>
            <w:t>24</w:t>
          </w:r>
          <w:r>
            <w:fldChar w:fldCharType="end"/>
          </w:r>
          <w:r>
            <w:fldChar w:fldCharType="end"/>
          </w:r>
        </w:p>
        <w:p>
          <w:pPr>
            <w:pStyle w:val="11"/>
            <w:tabs>
              <w:tab w:val="right" w:leader="dot" w:pos="9436"/>
            </w:tabs>
          </w:pPr>
          <w:r>
            <w:fldChar w:fldCharType="begin"/>
          </w:r>
          <w:r>
            <w:instrText xml:space="preserve"> HYPERLINK \l "_Toc89793291" </w:instrText>
          </w:r>
          <w:r>
            <w:fldChar w:fldCharType="separate"/>
          </w:r>
          <w:r>
            <w:rPr>
              <w:rStyle w:val="19"/>
            </w:rPr>
            <w:t>九、毕业要求</w:t>
          </w:r>
          <w:r>
            <w:tab/>
          </w:r>
          <w:r>
            <w:fldChar w:fldCharType="begin"/>
          </w:r>
          <w:r>
            <w:instrText xml:space="preserve"> PAGEREF _Toc89793291 \h </w:instrText>
          </w:r>
          <w:r>
            <w:fldChar w:fldCharType="separate"/>
          </w:r>
          <w:r>
            <w:t>25</w:t>
          </w:r>
          <w:r>
            <w:fldChar w:fldCharType="end"/>
          </w:r>
          <w:r>
            <w:fldChar w:fldCharType="end"/>
          </w:r>
        </w:p>
        <w:p>
          <w:pPr>
            <w:pStyle w:val="12"/>
            <w:tabs>
              <w:tab w:val="right" w:leader="dot" w:pos="9436"/>
            </w:tabs>
          </w:pPr>
          <w:r>
            <w:fldChar w:fldCharType="begin"/>
          </w:r>
          <w:r>
            <w:instrText xml:space="preserve"> HYPERLINK \l "_Toc89793292" </w:instrText>
          </w:r>
          <w:r>
            <w:fldChar w:fldCharType="separate"/>
          </w:r>
          <w:r>
            <w:rPr>
              <w:rStyle w:val="19"/>
            </w:rPr>
            <w:t>（一）学分要求</w:t>
          </w:r>
          <w:r>
            <w:tab/>
          </w:r>
          <w:r>
            <w:fldChar w:fldCharType="begin"/>
          </w:r>
          <w:r>
            <w:instrText xml:space="preserve"> PAGEREF _Toc89793292 \h </w:instrText>
          </w:r>
          <w:r>
            <w:fldChar w:fldCharType="separate"/>
          </w:r>
          <w:r>
            <w:t>25</w:t>
          </w:r>
          <w:r>
            <w:fldChar w:fldCharType="end"/>
          </w:r>
          <w:r>
            <w:fldChar w:fldCharType="end"/>
          </w:r>
        </w:p>
        <w:p>
          <w:pPr>
            <w:pStyle w:val="12"/>
            <w:tabs>
              <w:tab w:val="right" w:leader="dot" w:pos="9436"/>
            </w:tabs>
          </w:pPr>
          <w:r>
            <w:fldChar w:fldCharType="begin"/>
          </w:r>
          <w:r>
            <w:instrText xml:space="preserve"> HYPERLINK \l "_Toc89793293" </w:instrText>
          </w:r>
          <w:r>
            <w:fldChar w:fldCharType="separate"/>
          </w:r>
          <w:r>
            <w:rPr>
              <w:rStyle w:val="19"/>
            </w:rPr>
            <w:t>（二）体质测试要求</w:t>
          </w:r>
          <w:r>
            <w:tab/>
          </w:r>
          <w:r>
            <w:fldChar w:fldCharType="begin"/>
          </w:r>
          <w:r>
            <w:instrText xml:space="preserve"> PAGEREF _Toc89793293 \h </w:instrText>
          </w:r>
          <w:r>
            <w:fldChar w:fldCharType="separate"/>
          </w:r>
          <w:r>
            <w:t>25</w:t>
          </w:r>
          <w:r>
            <w:fldChar w:fldCharType="end"/>
          </w:r>
          <w:r>
            <w:fldChar w:fldCharType="end"/>
          </w:r>
        </w:p>
        <w:p>
          <w:pPr>
            <w:pStyle w:val="12"/>
            <w:tabs>
              <w:tab w:val="right" w:leader="dot" w:pos="9436"/>
            </w:tabs>
          </w:pPr>
          <w:r>
            <w:fldChar w:fldCharType="begin"/>
          </w:r>
          <w:r>
            <w:instrText xml:space="preserve"> HYPERLINK \l "_Toc89793294" </w:instrText>
          </w:r>
          <w:r>
            <w:fldChar w:fldCharType="separate"/>
          </w:r>
          <w:r>
            <w:rPr>
              <w:rStyle w:val="19"/>
            </w:rPr>
            <w:t>（三）德智体美劳全面发展培养要求</w:t>
          </w:r>
          <w:r>
            <w:tab/>
          </w:r>
          <w:r>
            <w:fldChar w:fldCharType="begin"/>
          </w:r>
          <w:r>
            <w:instrText xml:space="preserve"> PAGEREF _Toc89793294 \h </w:instrText>
          </w:r>
          <w:r>
            <w:fldChar w:fldCharType="separate"/>
          </w:r>
          <w:r>
            <w:t>25</w:t>
          </w:r>
          <w:r>
            <w:fldChar w:fldCharType="end"/>
          </w:r>
          <w:r>
            <w:fldChar w:fldCharType="end"/>
          </w:r>
        </w:p>
        <w:p>
          <w:r>
            <w:rPr>
              <w:b/>
              <w:bCs/>
              <w:lang w:val="zh-CN"/>
            </w:rPr>
            <w:fldChar w:fldCharType="end"/>
          </w:r>
        </w:p>
      </w:sdtContent>
    </w:sdt>
    <w:p>
      <w:pPr>
        <w:spacing w:line="360" w:lineRule="auto"/>
        <w:ind w:right="1200" w:firstLine="480" w:firstLineChars="200"/>
        <w:jc w:val="center"/>
        <w:rPr>
          <w:rFonts w:ascii="宋体" w:hAnsi="宋体" w:eastAsia="宋体" w:cs="宋体"/>
          <w:sz w:val="24"/>
          <w:szCs w:val="24"/>
        </w:rPr>
        <w:sectPr>
          <w:headerReference r:id="rId3" w:type="default"/>
          <w:footerReference r:id="rId4" w:type="default"/>
          <w:pgSz w:w="11906" w:h="16838"/>
          <w:pgMar w:top="1134" w:right="1230" w:bottom="1440" w:left="1230" w:header="851" w:footer="992" w:gutter="0"/>
          <w:pgBorders>
            <w:top w:val="none" w:sz="0" w:space="0"/>
            <w:left w:val="none" w:sz="0" w:space="0"/>
            <w:bottom w:val="none" w:sz="0" w:space="0"/>
            <w:right w:val="none" w:sz="0" w:space="0"/>
          </w:pgBorders>
          <w:pgNumType w:start="1"/>
          <w:cols w:space="720" w:num="1"/>
          <w:titlePg/>
          <w:docGrid w:type="lines" w:linePitch="312" w:charSpace="0"/>
        </w:sectPr>
      </w:pPr>
    </w:p>
    <w:bookmarkEnd w:id="0"/>
    <w:p>
      <w:pPr>
        <w:pStyle w:val="3"/>
      </w:pPr>
      <w:bookmarkStart w:id="1" w:name="_Toc89793261"/>
      <w:r>
        <w:rPr>
          <w:rFonts w:hint="eastAsia"/>
        </w:rPr>
        <w:t>一、专业名称及代码</w:t>
      </w:r>
      <w:bookmarkEnd w:id="1"/>
    </w:p>
    <w:p>
      <w:pPr>
        <w:ind w:firstLine="422" w:firstLineChars="200"/>
        <w:rPr>
          <w:rFonts w:asciiTheme="minorEastAsia" w:hAnsiTheme="minorEastAsia"/>
        </w:rPr>
      </w:pPr>
      <w:r>
        <w:rPr>
          <w:rFonts w:hint="eastAsia" w:asciiTheme="majorEastAsia" w:hAnsiTheme="majorEastAsia" w:eastAsiaTheme="majorEastAsia"/>
          <w:b/>
          <w:bCs/>
        </w:rPr>
        <w:t>专业名称：</w:t>
      </w:r>
      <w:r>
        <w:rPr>
          <w:rFonts w:hint="eastAsia" w:asciiTheme="minorEastAsia" w:hAnsiTheme="minorEastAsia"/>
          <w:szCs w:val="21"/>
        </w:rPr>
        <w:t>机电一体化技术</w:t>
      </w:r>
    </w:p>
    <w:p>
      <w:pPr>
        <w:ind w:firstLine="422" w:firstLineChars="200"/>
        <w:rPr>
          <w:rFonts w:asciiTheme="majorEastAsia" w:hAnsiTheme="majorEastAsia" w:eastAsiaTheme="majorEastAsia"/>
        </w:rPr>
      </w:pPr>
      <w:r>
        <w:rPr>
          <w:rFonts w:hint="eastAsia" w:asciiTheme="majorEastAsia" w:hAnsiTheme="majorEastAsia" w:eastAsiaTheme="majorEastAsia"/>
          <w:b/>
          <w:bCs/>
        </w:rPr>
        <w:t>专业代码：</w:t>
      </w:r>
      <w:r>
        <w:rPr>
          <w:rFonts w:hint="eastAsia" w:asciiTheme="minorEastAsia" w:hAnsiTheme="minorEastAsia"/>
          <w:szCs w:val="21"/>
        </w:rPr>
        <w:t>460301</w:t>
      </w:r>
    </w:p>
    <w:p>
      <w:pPr>
        <w:rPr>
          <w:rFonts w:asciiTheme="majorEastAsia" w:hAnsiTheme="majorEastAsia" w:eastAsiaTheme="majorEastAsia"/>
        </w:rPr>
      </w:pPr>
    </w:p>
    <w:p>
      <w:pPr>
        <w:pStyle w:val="3"/>
      </w:pPr>
      <w:bookmarkStart w:id="2" w:name="_Toc89793262"/>
      <w:r>
        <w:rPr>
          <w:rFonts w:hint="eastAsia"/>
        </w:rPr>
        <w:t>二、入学要求</w:t>
      </w:r>
      <w:bookmarkEnd w:id="2"/>
    </w:p>
    <w:p>
      <w:pPr>
        <w:ind w:firstLine="420" w:firstLineChars="200"/>
        <w:rPr>
          <w:rFonts w:asciiTheme="minorEastAsia" w:hAnsiTheme="minorEastAsia"/>
        </w:rPr>
      </w:pPr>
      <w:r>
        <w:rPr>
          <w:rFonts w:hint="eastAsia" w:asciiTheme="minorEastAsia" w:hAnsiTheme="minorEastAsia"/>
        </w:rPr>
        <w:t>高中阶段教育毕业生或具有同等学力者。</w:t>
      </w:r>
    </w:p>
    <w:p>
      <w:pPr>
        <w:pStyle w:val="3"/>
      </w:pPr>
      <w:bookmarkStart w:id="3" w:name="_Toc89793263"/>
      <w:r>
        <w:rPr>
          <w:rFonts w:hint="eastAsia"/>
        </w:rPr>
        <w:t>三、修业年限</w:t>
      </w:r>
      <w:bookmarkEnd w:id="3"/>
    </w:p>
    <w:p>
      <w:pPr>
        <w:ind w:firstLine="420" w:firstLineChars="200"/>
        <w:rPr>
          <w:rFonts w:asciiTheme="minorEastAsia" w:hAnsiTheme="minorEastAsia"/>
        </w:rPr>
      </w:pPr>
      <w:r>
        <w:rPr>
          <w:rFonts w:hint="eastAsia" w:asciiTheme="minorEastAsia" w:hAnsiTheme="minorEastAsia"/>
        </w:rPr>
        <w:t>基本学制3年，实行弹性学制，推行学分制。学习合格取得全日制普通高等学校专科学历。</w:t>
      </w:r>
    </w:p>
    <w:p>
      <w:pPr>
        <w:pStyle w:val="3"/>
      </w:pPr>
      <w:bookmarkStart w:id="4" w:name="_Toc89793264"/>
      <w:r>
        <w:rPr>
          <w:rFonts w:hint="eastAsia"/>
        </w:rPr>
        <w:t>四、职业面向</w:t>
      </w:r>
      <w:bookmarkEnd w:id="4"/>
    </w:p>
    <w:p>
      <w:pPr>
        <w:jc w:val="center"/>
        <w:rPr>
          <w:rFonts w:asciiTheme="minorEastAsia" w:hAnsiTheme="minorEastAsia"/>
        </w:rPr>
      </w:pPr>
      <w:r>
        <w:rPr>
          <w:rFonts w:hint="eastAsia" w:asciiTheme="minorEastAsia" w:hAnsiTheme="minorEastAsia"/>
        </w:rPr>
        <w:t>表1</w:t>
      </w:r>
      <w:r>
        <w:rPr>
          <w:rFonts w:asciiTheme="minorEastAsia" w:hAnsiTheme="minorEastAsia"/>
        </w:rPr>
        <w:t xml:space="preserve"> </w:t>
      </w:r>
      <w:r>
        <w:rPr>
          <w:rFonts w:hint="eastAsia" w:asciiTheme="minorEastAsia" w:hAnsiTheme="minorEastAsia"/>
        </w:rPr>
        <w:t>职业面向</w:t>
      </w:r>
    </w:p>
    <w:tbl>
      <w:tblPr>
        <w:tblStyle w:val="15"/>
        <w:tblW w:w="8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276"/>
        <w:gridCol w:w="1065"/>
        <w:gridCol w:w="1356"/>
        <w:gridCol w:w="1371"/>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jc w:val="center"/>
              <w:rPr>
                <w:rFonts w:asciiTheme="minorEastAsia" w:hAnsiTheme="minorEastAsia"/>
                <w:sz w:val="18"/>
                <w:szCs w:val="18"/>
              </w:rPr>
            </w:pPr>
            <w:r>
              <w:rPr>
                <w:rFonts w:hint="eastAsia" w:asciiTheme="minorEastAsia" w:hAnsiTheme="minorEastAsia"/>
                <w:sz w:val="18"/>
                <w:szCs w:val="18"/>
              </w:rPr>
              <w:t>所属专业大类（代码）</w:t>
            </w:r>
          </w:p>
        </w:tc>
        <w:tc>
          <w:tcPr>
            <w:tcW w:w="1276" w:type="dxa"/>
            <w:vAlign w:val="center"/>
          </w:tcPr>
          <w:p>
            <w:pPr>
              <w:jc w:val="center"/>
              <w:rPr>
                <w:rFonts w:asciiTheme="minorEastAsia" w:hAnsiTheme="minorEastAsia"/>
                <w:sz w:val="18"/>
                <w:szCs w:val="18"/>
              </w:rPr>
            </w:pPr>
            <w:r>
              <w:rPr>
                <w:rFonts w:hint="eastAsia" w:asciiTheme="minorEastAsia" w:hAnsiTheme="minorEastAsia"/>
                <w:sz w:val="18"/>
                <w:szCs w:val="18"/>
              </w:rPr>
              <w:t>所属专业类（代码）</w:t>
            </w:r>
          </w:p>
        </w:tc>
        <w:tc>
          <w:tcPr>
            <w:tcW w:w="1065" w:type="dxa"/>
            <w:vAlign w:val="center"/>
          </w:tcPr>
          <w:p>
            <w:pPr>
              <w:jc w:val="center"/>
              <w:rPr>
                <w:rFonts w:asciiTheme="minorEastAsia" w:hAnsiTheme="minorEastAsia"/>
                <w:sz w:val="18"/>
                <w:szCs w:val="18"/>
              </w:rPr>
            </w:pPr>
            <w:r>
              <w:rPr>
                <w:rFonts w:hint="eastAsia" w:asciiTheme="minorEastAsia" w:hAnsiTheme="minorEastAsia"/>
                <w:sz w:val="18"/>
                <w:szCs w:val="18"/>
              </w:rPr>
              <w:t>对应行业</w:t>
            </w:r>
          </w:p>
        </w:tc>
        <w:tc>
          <w:tcPr>
            <w:tcW w:w="1356" w:type="dxa"/>
            <w:vAlign w:val="center"/>
          </w:tcPr>
          <w:p>
            <w:pPr>
              <w:jc w:val="center"/>
              <w:rPr>
                <w:rFonts w:asciiTheme="minorEastAsia" w:hAnsiTheme="minorEastAsia"/>
                <w:sz w:val="18"/>
                <w:szCs w:val="18"/>
              </w:rPr>
            </w:pPr>
            <w:r>
              <w:rPr>
                <w:rFonts w:hint="eastAsia" w:asciiTheme="minorEastAsia" w:hAnsiTheme="minorEastAsia"/>
                <w:sz w:val="18"/>
                <w:szCs w:val="18"/>
              </w:rPr>
              <w:t>主要职业类别</w:t>
            </w:r>
          </w:p>
        </w:tc>
        <w:tc>
          <w:tcPr>
            <w:tcW w:w="1371" w:type="dxa"/>
            <w:vAlign w:val="center"/>
          </w:tcPr>
          <w:p>
            <w:pPr>
              <w:jc w:val="center"/>
              <w:rPr>
                <w:rFonts w:asciiTheme="minorEastAsia" w:hAnsiTheme="minorEastAsia"/>
                <w:sz w:val="18"/>
                <w:szCs w:val="18"/>
              </w:rPr>
            </w:pPr>
            <w:r>
              <w:rPr>
                <w:rFonts w:hint="eastAsia" w:asciiTheme="minorEastAsia" w:hAnsiTheme="minorEastAsia"/>
                <w:sz w:val="18"/>
                <w:szCs w:val="18"/>
              </w:rPr>
              <w:t>主要岗位类别或技术领域</w:t>
            </w:r>
          </w:p>
        </w:tc>
        <w:tc>
          <w:tcPr>
            <w:tcW w:w="2114" w:type="dxa"/>
            <w:vAlign w:val="center"/>
          </w:tcPr>
          <w:p>
            <w:pPr>
              <w:jc w:val="center"/>
              <w:rPr>
                <w:rFonts w:asciiTheme="minorEastAsia" w:hAnsiTheme="minorEastAsia"/>
                <w:sz w:val="18"/>
                <w:szCs w:val="18"/>
              </w:rPr>
            </w:pPr>
            <w:r>
              <w:rPr>
                <w:rFonts w:hint="eastAsia" w:asciiTheme="minorEastAsia" w:hAnsiTheme="minorEastAsia"/>
                <w:sz w:val="18"/>
                <w:szCs w:val="18"/>
              </w:rPr>
              <w:t>职业技能等级证书、社会认可度高的行业企业（人才）标准或证书举例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330" w:type="dxa"/>
            <w:vAlign w:val="center"/>
          </w:tcPr>
          <w:p>
            <w:pPr>
              <w:rPr>
                <w:rFonts w:asciiTheme="minorEastAsia" w:hAnsiTheme="minorEastAsia"/>
                <w:sz w:val="18"/>
                <w:szCs w:val="18"/>
              </w:rPr>
            </w:pPr>
            <w:r>
              <w:rPr>
                <w:rFonts w:asciiTheme="majorEastAsia" w:hAnsiTheme="majorEastAsia" w:eastAsiaTheme="majorEastAsia"/>
                <w:sz w:val="18"/>
                <w:szCs w:val="18"/>
              </w:rPr>
              <w:t>装备制造</w:t>
            </w:r>
            <w:r>
              <w:rPr>
                <w:rFonts w:hint="eastAsia" w:asciiTheme="majorEastAsia" w:hAnsiTheme="majorEastAsia" w:eastAsiaTheme="majorEastAsia"/>
                <w:sz w:val="18"/>
                <w:szCs w:val="18"/>
              </w:rPr>
              <w:t>大</w:t>
            </w:r>
            <w:r>
              <w:rPr>
                <w:rFonts w:asciiTheme="majorEastAsia" w:hAnsiTheme="majorEastAsia" w:eastAsiaTheme="majorEastAsia"/>
                <w:sz w:val="18"/>
                <w:szCs w:val="18"/>
              </w:rPr>
              <w:t>类（46）</w:t>
            </w:r>
          </w:p>
        </w:tc>
        <w:tc>
          <w:tcPr>
            <w:tcW w:w="1276" w:type="dxa"/>
            <w:vAlign w:val="center"/>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自动化类</w:t>
            </w:r>
          </w:p>
          <w:p>
            <w:pPr>
              <w:rPr>
                <w:rFonts w:asciiTheme="minorEastAsia" w:hAnsiTheme="minorEastAsia"/>
                <w:sz w:val="18"/>
                <w:szCs w:val="18"/>
              </w:rPr>
            </w:pPr>
            <w:r>
              <w:rPr>
                <w:rFonts w:asciiTheme="majorEastAsia" w:hAnsiTheme="majorEastAsia" w:eastAsiaTheme="majorEastAsia"/>
                <w:sz w:val="18"/>
                <w:szCs w:val="18"/>
              </w:rPr>
              <w:t>（4603）</w:t>
            </w:r>
          </w:p>
        </w:tc>
        <w:tc>
          <w:tcPr>
            <w:tcW w:w="1065" w:type="dxa"/>
            <w:vAlign w:val="center"/>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1.通用设备制造业（C34）</w:t>
            </w:r>
          </w:p>
          <w:p>
            <w:pPr>
              <w:rPr>
                <w:rFonts w:asciiTheme="minorEastAsia" w:hAnsiTheme="minorEastAsia"/>
                <w:sz w:val="18"/>
                <w:szCs w:val="18"/>
              </w:rPr>
            </w:pPr>
            <w:r>
              <w:rPr>
                <w:rFonts w:asciiTheme="majorEastAsia" w:hAnsiTheme="majorEastAsia" w:eastAsiaTheme="majorEastAsia"/>
                <w:sz w:val="18"/>
                <w:szCs w:val="18"/>
              </w:rPr>
              <w:t>2.金属制品、机械和设备修业（C43）</w:t>
            </w:r>
          </w:p>
        </w:tc>
        <w:tc>
          <w:tcPr>
            <w:tcW w:w="1356" w:type="dxa"/>
            <w:vAlign w:val="center"/>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1.通用设备制造人员（6-20）</w:t>
            </w:r>
          </w:p>
          <w:p>
            <w:pPr>
              <w:rPr>
                <w:rFonts w:asciiTheme="minorEastAsia" w:hAnsiTheme="minorEastAsia"/>
                <w:sz w:val="18"/>
                <w:szCs w:val="18"/>
              </w:rPr>
            </w:pPr>
            <w:r>
              <w:rPr>
                <w:rFonts w:asciiTheme="majorEastAsia" w:hAnsiTheme="majorEastAsia" w:eastAsiaTheme="majorEastAsia"/>
                <w:sz w:val="18"/>
                <w:szCs w:val="18"/>
              </w:rPr>
              <w:t>2.电气机械和器材制造人员（6-24）</w:t>
            </w:r>
          </w:p>
        </w:tc>
        <w:tc>
          <w:tcPr>
            <w:tcW w:w="1371" w:type="dxa"/>
            <w:vAlign w:val="center"/>
          </w:tcPr>
          <w:p>
            <w:pPr>
              <w:jc w:val="center"/>
              <w:rPr>
                <w:rFonts w:asciiTheme="majorEastAsia" w:hAnsiTheme="majorEastAsia" w:eastAsiaTheme="majorEastAsia"/>
                <w:sz w:val="18"/>
                <w:szCs w:val="18"/>
              </w:rPr>
            </w:pPr>
            <w:r>
              <w:rPr>
                <w:rFonts w:asciiTheme="majorEastAsia" w:hAnsiTheme="majorEastAsia" w:eastAsiaTheme="majorEastAsia"/>
                <w:sz w:val="18"/>
                <w:szCs w:val="18"/>
              </w:rPr>
              <w:t>1.</w:t>
            </w:r>
            <w:r>
              <w:rPr>
                <w:rFonts w:hint="eastAsia" w:asciiTheme="majorEastAsia" w:hAnsiTheme="majorEastAsia" w:eastAsiaTheme="majorEastAsia"/>
                <w:sz w:val="18"/>
                <w:szCs w:val="18"/>
              </w:rPr>
              <w:t>自动化控制设备程序设计员</w:t>
            </w:r>
          </w:p>
          <w:p>
            <w:pPr>
              <w:jc w:val="center"/>
              <w:rPr>
                <w:rFonts w:asciiTheme="majorEastAsia" w:hAnsiTheme="majorEastAsia" w:eastAsiaTheme="majorEastAsia"/>
                <w:sz w:val="18"/>
                <w:szCs w:val="18"/>
              </w:rPr>
            </w:pPr>
            <w:r>
              <w:rPr>
                <w:rFonts w:asciiTheme="majorEastAsia" w:hAnsiTheme="majorEastAsia" w:eastAsiaTheme="majorEastAsia"/>
                <w:sz w:val="18"/>
                <w:szCs w:val="18"/>
              </w:rPr>
              <w:t>2.</w:t>
            </w:r>
            <w:r>
              <w:rPr>
                <w:rFonts w:hint="eastAsia" w:asciiTheme="majorEastAsia" w:hAnsiTheme="majorEastAsia" w:eastAsiaTheme="majorEastAsia"/>
                <w:sz w:val="18"/>
                <w:szCs w:val="18"/>
              </w:rPr>
              <w:t>电气控制电路接线员</w:t>
            </w:r>
          </w:p>
          <w:p>
            <w:pPr>
              <w:rPr>
                <w:rFonts w:asciiTheme="minorEastAsia" w:hAnsiTheme="minorEastAsia"/>
                <w:sz w:val="18"/>
                <w:szCs w:val="18"/>
              </w:rPr>
            </w:pPr>
            <w:r>
              <w:rPr>
                <w:rFonts w:asciiTheme="majorEastAsia" w:hAnsiTheme="majorEastAsia" w:eastAsiaTheme="majorEastAsia"/>
                <w:sz w:val="18"/>
                <w:szCs w:val="18"/>
              </w:rPr>
              <w:t>3.</w:t>
            </w:r>
            <w:r>
              <w:rPr>
                <w:rFonts w:hint="eastAsia" w:asciiTheme="majorEastAsia" w:hAnsiTheme="majorEastAsia" w:eastAsiaTheme="majorEastAsia"/>
                <w:sz w:val="18"/>
                <w:szCs w:val="18"/>
              </w:rPr>
              <w:t>自动生产线安装、调试、维护保养工作人员</w:t>
            </w:r>
          </w:p>
        </w:tc>
        <w:tc>
          <w:tcPr>
            <w:tcW w:w="2114" w:type="dxa"/>
            <w:vAlign w:val="center"/>
          </w:tcPr>
          <w:p>
            <w:pPr>
              <w:jc w:val="both"/>
              <w:rPr>
                <w:rFonts w:asciiTheme="majorEastAsia" w:hAnsiTheme="majorEastAsia" w:eastAsiaTheme="majorEastAsia"/>
                <w:sz w:val="18"/>
                <w:szCs w:val="18"/>
              </w:rPr>
            </w:pPr>
            <w:r>
              <w:rPr>
                <w:rFonts w:asciiTheme="majorEastAsia" w:hAnsiTheme="majorEastAsia" w:eastAsiaTheme="majorEastAsia"/>
                <w:sz w:val="18"/>
                <w:szCs w:val="18"/>
              </w:rPr>
              <w:t>1.维修电工</w:t>
            </w:r>
            <w:r>
              <w:rPr>
                <w:rFonts w:hint="eastAsia" w:asciiTheme="majorEastAsia" w:hAnsiTheme="majorEastAsia" w:eastAsiaTheme="majorEastAsia"/>
                <w:sz w:val="18"/>
                <w:szCs w:val="18"/>
              </w:rPr>
              <w:t>维修电工职业资格证书</w:t>
            </w:r>
            <w:r>
              <w:rPr>
                <w:rFonts w:asciiTheme="majorEastAsia" w:hAnsiTheme="majorEastAsia" w:eastAsiaTheme="majorEastAsia"/>
                <w:sz w:val="18"/>
                <w:szCs w:val="18"/>
              </w:rPr>
              <w:t>（中级）</w:t>
            </w:r>
          </w:p>
          <w:p>
            <w:pPr>
              <w:rPr>
                <w:rFonts w:asciiTheme="majorEastAsia" w:hAnsiTheme="majorEastAsia" w:eastAsiaTheme="majorEastAsia"/>
                <w:sz w:val="18"/>
                <w:szCs w:val="18"/>
              </w:rPr>
            </w:pPr>
            <w:r>
              <w:rPr>
                <w:rFonts w:asciiTheme="majorEastAsia" w:hAnsiTheme="majorEastAsia" w:eastAsiaTheme="majorEastAsia"/>
                <w:sz w:val="18"/>
                <w:szCs w:val="18"/>
              </w:rPr>
              <w:t>2.</w:t>
            </w:r>
            <w:r>
              <w:rPr>
                <w:rFonts w:hint="eastAsia" w:asciiTheme="majorEastAsia" w:hAnsiTheme="majorEastAsia" w:eastAsiaTheme="majorEastAsia"/>
                <w:sz w:val="18"/>
                <w:szCs w:val="18"/>
              </w:rPr>
              <w:t>电工上岗证</w:t>
            </w:r>
          </w:p>
          <w:p>
            <w:pPr>
              <w:rPr>
                <w:rFonts w:asciiTheme="minorEastAsia" w:hAnsiTheme="minorEastAsia"/>
                <w:sz w:val="18"/>
                <w:szCs w:val="18"/>
              </w:rPr>
            </w:pPr>
            <w:r>
              <w:rPr>
                <w:rFonts w:hint="eastAsia" w:asciiTheme="majorEastAsia" w:hAnsiTheme="majorEastAsia" w:eastAsiaTheme="majorEastAsia"/>
                <w:sz w:val="18"/>
                <w:szCs w:val="18"/>
              </w:rPr>
              <w:t>3.</w:t>
            </w:r>
            <w:r>
              <w:rPr>
                <w:rFonts w:hint="eastAsia" w:asciiTheme="majorEastAsia" w:hAnsiTheme="majorEastAsia" w:eastAsiaTheme="majorEastAsia"/>
                <w:sz w:val="18"/>
                <w:szCs w:val="18"/>
                <w:lang w:val="en-US"/>
              </w:rPr>
              <w:t>1+X</w:t>
            </w:r>
            <w:r>
              <w:rPr>
                <w:rFonts w:hint="eastAsia" w:asciiTheme="majorEastAsia" w:hAnsiTheme="majorEastAsia" w:eastAsiaTheme="majorEastAsia"/>
                <w:sz w:val="18"/>
                <w:szCs w:val="18"/>
              </w:rPr>
              <w:t>可编程控制系统应用编程职业技能等级证书（中级）</w:t>
            </w:r>
          </w:p>
        </w:tc>
      </w:tr>
    </w:tbl>
    <w:p>
      <w:pPr>
        <w:pStyle w:val="3"/>
      </w:pPr>
      <w:bookmarkStart w:id="5" w:name="_Toc89793265"/>
      <w:r>
        <w:rPr>
          <w:rFonts w:hint="eastAsia"/>
        </w:rPr>
        <w:t>五、培养目标与培养规格</w:t>
      </w:r>
      <w:bookmarkEnd w:id="5"/>
    </w:p>
    <w:p>
      <w:pPr>
        <w:pStyle w:val="4"/>
      </w:pPr>
      <w:bookmarkStart w:id="6" w:name="_Toc89793266"/>
      <w:r>
        <w:rPr>
          <w:rFonts w:hint="eastAsia"/>
        </w:rPr>
        <w:t>（一）培养目标</w:t>
      </w:r>
      <w:bookmarkEnd w:id="6"/>
    </w:p>
    <w:p>
      <w:pPr>
        <w:ind w:firstLine="420"/>
        <w:rPr>
          <w:rFonts w:asciiTheme="minorEastAsia" w:hAnsiTheme="minorEastAsia"/>
        </w:rPr>
      </w:pPr>
      <w:r>
        <w:rPr>
          <w:rFonts w:hint="eastAsia" w:asciiTheme="minorEastAsia" w:hAnsiTheme="minorEastAsia"/>
        </w:rPr>
        <w:t>本专业以立德树人为根本任务，推进思政课程与课程思政同向同行，培养思想政治坚定、德智体美劳全面发展，具有社会主义核心价值观和家国情怀，具备一定科学文化水平，良好的人文素养、职业道德和创新意识，精益求精的工匠精神，较强的就业能力和可持续发展能力，适应新形势下产业转型升级，紧跟社会发展、紧跟经济建设、紧跟粤港澳大湾区发展需要，掌握机电一体化专业知识，熟悉</w:t>
      </w:r>
      <w:r>
        <w:rPr>
          <w:rFonts w:hint="eastAsia" w:asciiTheme="majorEastAsia" w:hAnsiTheme="majorEastAsia" w:eastAsiaTheme="majorEastAsia"/>
        </w:rPr>
        <w:t>机电一体化技术</w:t>
      </w:r>
      <w:r>
        <w:rPr>
          <w:rFonts w:hint="eastAsia" w:asciiTheme="minorEastAsia" w:hAnsiTheme="minorEastAsia"/>
        </w:rPr>
        <w:t>技能，能够在</w:t>
      </w:r>
      <w:r>
        <w:rPr>
          <w:rFonts w:hint="eastAsia" w:asciiTheme="majorEastAsia" w:hAnsiTheme="majorEastAsia" w:eastAsiaTheme="majorEastAsia"/>
        </w:rPr>
        <w:t>生产、建设、管理、服务</w:t>
      </w:r>
      <w:r>
        <w:rPr>
          <w:rFonts w:hint="eastAsia" w:asciiTheme="minorEastAsia" w:hAnsiTheme="minorEastAsia"/>
        </w:rPr>
        <w:t>等领域，从事</w:t>
      </w:r>
      <w:r>
        <w:rPr>
          <w:rFonts w:hint="eastAsia" w:asciiTheme="majorEastAsia" w:hAnsiTheme="majorEastAsia" w:eastAsiaTheme="majorEastAsia"/>
        </w:rPr>
        <w:t>普通机床操作、数控机床的操作与编程、机电产品设计与工艺的设计、车间的现场管理、机电产品的销售与售后服务，完成自动化生产设备与自动生产线的安装、调试、维护保养</w:t>
      </w:r>
      <w:r>
        <w:rPr>
          <w:rFonts w:hint="eastAsia" w:asciiTheme="minorEastAsia" w:hAnsiTheme="minorEastAsia"/>
        </w:rPr>
        <w:t>等工作的复合型技术技能人才。</w:t>
      </w:r>
    </w:p>
    <w:p>
      <w:pPr>
        <w:pStyle w:val="4"/>
      </w:pPr>
      <w:bookmarkStart w:id="7" w:name="_Toc89793267"/>
      <w:r>
        <w:rPr>
          <w:rFonts w:hint="eastAsia"/>
        </w:rPr>
        <w:t>（二）培养规格</w:t>
      </w:r>
      <w:bookmarkEnd w:id="7"/>
    </w:p>
    <w:p>
      <w:pPr>
        <w:pStyle w:val="2"/>
        <w:spacing w:before="234" w:after="234"/>
        <w:ind w:left="420"/>
      </w:pPr>
      <w:bookmarkStart w:id="8" w:name="_Toc89793268"/>
      <w:r>
        <w:rPr>
          <w:rFonts w:hint="eastAsia"/>
        </w:rPr>
        <w:t>1.素质要求</w:t>
      </w:r>
      <w:bookmarkEnd w:id="8"/>
    </w:p>
    <w:p>
      <w:pPr>
        <w:ind w:firstLine="420"/>
        <w:rPr>
          <w:rFonts w:asciiTheme="minorEastAsia" w:hAnsiTheme="minorEastAsia"/>
        </w:rPr>
      </w:pPr>
      <w:r>
        <w:rPr>
          <w:rFonts w:hint="eastAsia" w:asciiTheme="minorEastAsia" w:hAnsiTheme="minorEastAsia"/>
        </w:rPr>
        <w:t>1.1坚定拥护中国共产党领导和我国社会主义制度，在习近平新时代中国特色社会主义思想指引下，践行社会主义核心价值观、具有深厚的爱国情感和中华民族自豪感。</w:t>
      </w:r>
    </w:p>
    <w:p>
      <w:pPr>
        <w:ind w:firstLine="420"/>
        <w:rPr>
          <w:rFonts w:asciiTheme="minorEastAsia" w:hAnsiTheme="minorEastAsia"/>
        </w:rPr>
      </w:pPr>
      <w:r>
        <w:rPr>
          <w:rFonts w:hint="eastAsia" w:asciiTheme="minorEastAsia" w:hAnsiTheme="minorEastAsia"/>
        </w:rPr>
        <w:t>1.2崇尚宪法、尊法守纪、崇德向善、诚实守信、尊重生命、热爱劳动、履行道德准则和行为规范，具有社会责任感和社会参与意识。</w:t>
      </w:r>
    </w:p>
    <w:p>
      <w:pPr>
        <w:ind w:firstLine="420"/>
        <w:rPr>
          <w:rFonts w:asciiTheme="minorEastAsia" w:hAnsiTheme="minorEastAsia"/>
        </w:rPr>
      </w:pPr>
      <w:r>
        <w:rPr>
          <w:rFonts w:hint="eastAsia" w:asciiTheme="minorEastAsia" w:hAnsiTheme="minorEastAsia"/>
        </w:rPr>
        <w:t>1.3具有质量意识、绿色环保意识、安全意识、信息素养、创新思维和创新精神。</w:t>
      </w:r>
    </w:p>
    <w:p>
      <w:pPr>
        <w:ind w:firstLine="420"/>
        <w:rPr>
          <w:rFonts w:asciiTheme="minorEastAsia" w:hAnsiTheme="minorEastAsia"/>
        </w:rPr>
      </w:pPr>
      <w:r>
        <w:rPr>
          <w:rFonts w:hint="eastAsia" w:asciiTheme="minorEastAsia" w:hAnsiTheme="minorEastAsia"/>
        </w:rPr>
        <w:t>1.4勇于奋斗、乐观向上、具有自我管理能力、职业生涯规划的意识、精益求精的工匠精神、较强的集体意识和团队合作精神。</w:t>
      </w:r>
    </w:p>
    <w:p>
      <w:pPr>
        <w:ind w:firstLine="420"/>
        <w:rPr>
          <w:rFonts w:asciiTheme="minorEastAsia" w:hAnsiTheme="minorEastAsia"/>
        </w:rPr>
      </w:pPr>
      <w:r>
        <w:rPr>
          <w:rFonts w:hint="eastAsia" w:asciiTheme="minorEastAsia" w:hAnsiTheme="minorEastAsia"/>
        </w:rPr>
        <w:t>1.5具有健康的体魄和心理、健全的人格，能够掌握基本运动知识和1—2项运动技能，养成良好的生活习惯和行为习惯。</w:t>
      </w:r>
    </w:p>
    <w:p>
      <w:pPr>
        <w:ind w:firstLine="420"/>
        <w:rPr>
          <w:rFonts w:asciiTheme="minorEastAsia" w:hAnsiTheme="minorEastAsia"/>
        </w:rPr>
      </w:pPr>
      <w:r>
        <w:rPr>
          <w:rFonts w:hint="eastAsia" w:asciiTheme="minorEastAsia" w:hAnsiTheme="minorEastAsia"/>
        </w:rPr>
        <w:t>1.6具有感受美、表现美、鉴赏美、创造美的能力，具有一定的审美和人文素养，能够形成1—2项艺术特长或爱好。</w:t>
      </w:r>
    </w:p>
    <w:p>
      <w:pPr>
        <w:pStyle w:val="2"/>
        <w:spacing w:before="234" w:after="234"/>
        <w:ind w:left="420"/>
      </w:pPr>
      <w:bookmarkStart w:id="9" w:name="_Toc89793269"/>
      <w:r>
        <w:t>2.</w:t>
      </w:r>
      <w:r>
        <w:rPr>
          <w:rFonts w:hint="eastAsia"/>
        </w:rPr>
        <w:t>知识要求</w:t>
      </w:r>
      <w:bookmarkEnd w:id="9"/>
    </w:p>
    <w:p>
      <w:pPr>
        <w:ind w:firstLine="420" w:firstLineChars="200"/>
        <w:rPr>
          <w:rFonts w:asciiTheme="minorEastAsia" w:hAnsiTheme="minorEastAsia"/>
        </w:rPr>
      </w:pPr>
      <w:r>
        <w:rPr>
          <w:rFonts w:hint="eastAsia" w:asciiTheme="minorEastAsia" w:hAnsiTheme="minorEastAsia"/>
        </w:rPr>
        <w:t>2</w:t>
      </w:r>
      <w:r>
        <w:rPr>
          <w:rFonts w:asciiTheme="minorEastAsia" w:hAnsiTheme="minorEastAsia"/>
        </w:rPr>
        <w:t>.1</w:t>
      </w:r>
      <w:r>
        <w:rPr>
          <w:rFonts w:hint="eastAsia" w:asciiTheme="minorEastAsia" w:hAnsiTheme="minorEastAsia"/>
        </w:rPr>
        <w:t>掌握本专业必需的语言文字表达、写作方面基本知识。</w:t>
      </w:r>
    </w:p>
    <w:p>
      <w:pPr>
        <w:ind w:firstLine="420" w:firstLineChars="200"/>
        <w:rPr>
          <w:rFonts w:asciiTheme="minorEastAsia" w:hAnsiTheme="minorEastAsia"/>
        </w:rPr>
      </w:pPr>
      <w:r>
        <w:rPr>
          <w:rFonts w:hint="eastAsia" w:asciiTheme="minorEastAsia" w:hAnsiTheme="minorEastAsia"/>
        </w:rPr>
        <w:t>2.2</w:t>
      </w:r>
      <w:r>
        <w:rPr>
          <w:rFonts w:asciiTheme="minorEastAsia" w:hAnsiTheme="minorEastAsia"/>
        </w:rPr>
        <w:t>掌握本专业必需的机械、电气、液压、气动、自动控制等方面的基本知识；</w:t>
      </w:r>
    </w:p>
    <w:p>
      <w:pPr>
        <w:ind w:firstLine="420" w:firstLineChars="200"/>
        <w:rPr>
          <w:rFonts w:asciiTheme="minorEastAsia" w:hAnsiTheme="minorEastAsia"/>
        </w:rPr>
      </w:pPr>
      <w:r>
        <w:rPr>
          <w:rFonts w:hint="eastAsia" w:asciiTheme="minorEastAsia" w:hAnsiTheme="minorEastAsia"/>
        </w:rPr>
        <w:t>2.3掌握机械图及电气图的识图和绘图能力；</w:t>
      </w:r>
    </w:p>
    <w:p>
      <w:pPr>
        <w:ind w:firstLine="420" w:firstLineChars="200"/>
        <w:rPr>
          <w:rFonts w:asciiTheme="minorEastAsia" w:hAnsiTheme="minorEastAsia"/>
        </w:rPr>
      </w:pPr>
      <w:r>
        <w:rPr>
          <w:rFonts w:hint="eastAsia" w:asciiTheme="minorEastAsia" w:hAnsiTheme="minorEastAsia"/>
        </w:rPr>
        <w:t>2.4</w:t>
      </w:r>
      <w:r>
        <w:rPr>
          <w:rFonts w:asciiTheme="minorEastAsia" w:hAnsiTheme="minorEastAsia"/>
        </w:rPr>
        <w:t>掌握电工电子技术</w:t>
      </w:r>
      <w:r>
        <w:rPr>
          <w:rFonts w:hint="eastAsia" w:asciiTheme="minorEastAsia" w:hAnsiTheme="minorEastAsia"/>
        </w:rPr>
        <w:t>、</w:t>
      </w:r>
      <w:r>
        <w:rPr>
          <w:rFonts w:asciiTheme="minorEastAsia" w:hAnsiTheme="minorEastAsia"/>
        </w:rPr>
        <w:t>单片机及PLC技术等方面的基本知识；</w:t>
      </w:r>
    </w:p>
    <w:p>
      <w:pPr>
        <w:ind w:firstLine="420" w:firstLineChars="200"/>
        <w:rPr>
          <w:rFonts w:asciiTheme="minorEastAsia" w:hAnsiTheme="minorEastAsia"/>
        </w:rPr>
      </w:pPr>
      <w:r>
        <w:rPr>
          <w:rFonts w:hint="eastAsia" w:asciiTheme="minorEastAsia" w:hAnsiTheme="minorEastAsia"/>
        </w:rPr>
        <w:t>2.5自动生产线的安装、维修及使用能力</w:t>
      </w:r>
      <w:r>
        <w:rPr>
          <w:rFonts w:asciiTheme="minorEastAsia" w:hAnsiTheme="minorEastAsia"/>
        </w:rPr>
        <w:t>；</w:t>
      </w:r>
    </w:p>
    <w:p>
      <w:pPr>
        <w:ind w:firstLine="420" w:firstLineChars="200"/>
        <w:rPr>
          <w:rFonts w:asciiTheme="minorEastAsia" w:hAnsiTheme="minorEastAsia"/>
        </w:rPr>
      </w:pPr>
      <w:r>
        <w:rPr>
          <w:rFonts w:hint="eastAsia" w:asciiTheme="minorEastAsia" w:hAnsiTheme="minorEastAsia"/>
        </w:rPr>
        <w:t>2.6</w:t>
      </w:r>
      <w:r>
        <w:rPr>
          <w:rFonts w:asciiTheme="minorEastAsia" w:hAnsiTheme="minorEastAsia"/>
        </w:rPr>
        <w:t>掌握工业机器人系统功能、结构、安装、参数设置。</w:t>
      </w:r>
    </w:p>
    <w:p>
      <w:pPr>
        <w:ind w:firstLine="420" w:firstLineChars="200"/>
        <w:rPr>
          <w:rFonts w:asciiTheme="minorEastAsia" w:hAnsiTheme="minorEastAsia"/>
          <w:color w:val="FF0000"/>
        </w:rPr>
      </w:pPr>
    </w:p>
    <w:p>
      <w:pPr>
        <w:pStyle w:val="2"/>
        <w:spacing w:before="234" w:after="234"/>
        <w:ind w:left="420"/>
      </w:pPr>
      <w:bookmarkStart w:id="10" w:name="_Toc89793270"/>
      <w:r>
        <w:rPr>
          <w:rFonts w:hint="eastAsia"/>
        </w:rPr>
        <w:t>3.能力要求</w:t>
      </w:r>
      <w:bookmarkEnd w:id="10"/>
    </w:p>
    <w:p>
      <w:pPr>
        <w:ind w:firstLine="420" w:firstLineChars="200"/>
        <w:rPr>
          <w:rFonts w:asciiTheme="minorEastAsia" w:hAnsiTheme="minorEastAsia"/>
        </w:rPr>
      </w:pPr>
      <w:r>
        <w:rPr>
          <w:rFonts w:hint="eastAsia" w:asciiTheme="minorEastAsia" w:hAnsiTheme="minorEastAsia"/>
        </w:rPr>
        <w:t>3.1具有岗位工作中必需的撰写计划、报告、总结及业务文件能力。</w:t>
      </w:r>
    </w:p>
    <w:p>
      <w:pPr>
        <w:ind w:firstLine="420" w:firstLineChars="200"/>
        <w:rPr>
          <w:rFonts w:asciiTheme="minorEastAsia" w:hAnsiTheme="minorEastAsia"/>
        </w:rPr>
      </w:pPr>
      <w:r>
        <w:rPr>
          <w:rFonts w:hint="eastAsia" w:asciiTheme="minorEastAsia" w:hAnsiTheme="minorEastAsia"/>
        </w:rPr>
        <w:t>3.2具备运用机电一体化技术专业领域所需的基础数学、外语和工程知识的能力。</w:t>
      </w:r>
    </w:p>
    <w:p>
      <w:pPr>
        <w:ind w:firstLine="420" w:firstLineChars="200"/>
        <w:rPr>
          <w:rFonts w:asciiTheme="minorEastAsia" w:hAnsiTheme="minorEastAsia"/>
        </w:rPr>
      </w:pPr>
      <w:r>
        <w:rPr>
          <w:rFonts w:hint="eastAsia" w:asciiTheme="minorEastAsia" w:hAnsiTheme="minorEastAsia"/>
        </w:rPr>
        <w:t>3.3具备判断、排除机电设备故障和维护现场机电设备的能力。</w:t>
      </w:r>
    </w:p>
    <w:p>
      <w:pPr>
        <w:ind w:firstLine="420" w:firstLineChars="200"/>
        <w:rPr>
          <w:rFonts w:asciiTheme="minorEastAsia" w:hAnsiTheme="minorEastAsia"/>
        </w:rPr>
      </w:pPr>
      <w:r>
        <w:rPr>
          <w:rFonts w:hint="eastAsia" w:asciiTheme="minorEastAsia" w:hAnsiTheme="minorEastAsia"/>
        </w:rPr>
        <w:t>3.4具备有效沟通、团队合作和归纳总结的能力。</w:t>
      </w:r>
    </w:p>
    <w:p>
      <w:pPr>
        <w:ind w:firstLine="420" w:firstLineChars="200"/>
        <w:rPr>
          <w:rFonts w:asciiTheme="minorEastAsia" w:hAnsiTheme="minorEastAsia"/>
        </w:rPr>
      </w:pPr>
      <w:r>
        <w:rPr>
          <w:rFonts w:hint="eastAsia" w:asciiTheme="minorEastAsia" w:hAnsiTheme="minorEastAsia"/>
        </w:rPr>
        <w:t>3.5具备一定的设计机电产品的能力。</w:t>
      </w:r>
    </w:p>
    <w:p>
      <w:pPr>
        <w:ind w:firstLine="420" w:firstLineChars="200"/>
        <w:rPr>
          <w:rFonts w:asciiTheme="minorEastAsia" w:hAnsiTheme="minorEastAsia"/>
        </w:rPr>
      </w:pPr>
      <w:r>
        <w:rPr>
          <w:rFonts w:hint="eastAsia" w:asciiTheme="minorEastAsia" w:hAnsiTheme="minorEastAsia"/>
        </w:rPr>
        <w:t>3.6具备成本和创新意识，具有持续学习机电一体化技术专业领域新技术、新方法、新工艺和新技能的能力。</w:t>
      </w:r>
    </w:p>
    <w:p>
      <w:pPr>
        <w:ind w:firstLine="420" w:firstLineChars="200"/>
        <w:rPr>
          <w:rFonts w:asciiTheme="minorEastAsia" w:hAnsiTheme="minorEastAsia"/>
        </w:rPr>
      </w:pPr>
      <w:r>
        <w:rPr>
          <w:rFonts w:hint="eastAsia" w:asciiTheme="minorEastAsia" w:hAnsiTheme="minorEastAsia"/>
        </w:rPr>
        <w:t>3.</w:t>
      </w:r>
      <w:r>
        <w:rPr>
          <w:rFonts w:asciiTheme="minorEastAsia" w:hAnsiTheme="minorEastAsia"/>
        </w:rPr>
        <w:t>7</w:t>
      </w:r>
      <w:r>
        <w:rPr>
          <w:rFonts w:hint="eastAsia" w:asciiTheme="minorEastAsia" w:hAnsiTheme="minorEastAsia"/>
        </w:rPr>
        <w:t>理解及遵守机电行业伦理及职业操守，认知社会责任及尊重多元观点。</w:t>
      </w:r>
    </w:p>
    <w:p>
      <w:pPr>
        <w:ind w:firstLine="420" w:firstLineChars="200"/>
        <w:rPr>
          <w:rFonts w:asciiTheme="minorEastAsia" w:hAnsiTheme="minorEastAsia"/>
        </w:rPr>
      </w:pPr>
    </w:p>
    <w:p>
      <w:pPr>
        <w:pStyle w:val="3"/>
      </w:pPr>
      <w:bookmarkStart w:id="11" w:name="_Toc89793271"/>
      <w:r>
        <w:rPr>
          <w:rFonts w:hint="eastAsia"/>
        </w:rPr>
        <w:t>六、课程设置及要求</w:t>
      </w:r>
      <w:bookmarkEnd w:id="11"/>
    </w:p>
    <w:p>
      <w:pPr>
        <w:ind w:firstLine="420" w:firstLineChars="200"/>
      </w:pPr>
      <w:r>
        <w:rPr>
          <w:rFonts w:hint="eastAsia"/>
        </w:rPr>
        <w:t>课程包括公共基础课程和专业（技能）课程。</w:t>
      </w:r>
    </w:p>
    <w:p>
      <w:pPr>
        <w:pStyle w:val="4"/>
      </w:pPr>
      <w:bookmarkStart w:id="12" w:name="_Toc89793272"/>
      <w:r>
        <w:rPr>
          <w:rFonts w:hint="eastAsia"/>
        </w:rPr>
        <w:t>（一）公共基础课程</w:t>
      </w:r>
      <w:bookmarkEnd w:id="12"/>
    </w:p>
    <w:p>
      <w:pPr>
        <w:ind w:firstLine="420" w:firstLineChars="200"/>
      </w:pPr>
      <w:r>
        <w:rPr>
          <w:rFonts w:hint="eastAsia"/>
        </w:rPr>
        <w:t>公共基础课程分为公共必修课、公共选修课、限定选修课。</w:t>
      </w:r>
    </w:p>
    <w:p>
      <w:pPr>
        <w:pStyle w:val="2"/>
        <w:spacing w:before="234" w:after="234"/>
        <w:ind w:left="420"/>
        <w:rPr>
          <w:color w:val="auto"/>
          <w:highlight w:val="none"/>
        </w:rPr>
      </w:pPr>
      <w:bookmarkStart w:id="13" w:name="_Toc89793273"/>
      <w:r>
        <w:rPr>
          <w:rFonts w:hint="eastAsia"/>
          <w:color w:val="auto"/>
          <w:highlight w:val="none"/>
        </w:rPr>
        <w:t>1.公共必修课</w:t>
      </w:r>
      <w:bookmarkEnd w:id="13"/>
    </w:p>
    <w:p>
      <w:pPr>
        <w:ind w:firstLine="420" w:firstLineChars="200"/>
        <w:rPr>
          <w:color w:val="auto"/>
          <w:highlight w:val="none"/>
        </w:rPr>
      </w:pPr>
      <w:r>
        <w:rPr>
          <w:rFonts w:hint="eastAsia"/>
          <w:color w:val="auto"/>
          <w:highlight w:val="none"/>
        </w:rPr>
        <w:t>本专业开设的公共必修课见表2。</w:t>
      </w:r>
    </w:p>
    <w:p>
      <w:pPr>
        <w:jc w:val="center"/>
        <w:rPr>
          <w:rFonts w:asciiTheme="minorEastAsia" w:hAnsiTheme="minorEastAsia"/>
        </w:rPr>
      </w:pPr>
      <w:r>
        <w:rPr>
          <w:rFonts w:hint="eastAsia" w:asciiTheme="minorEastAsia" w:hAnsiTheme="minorEastAsia"/>
        </w:rPr>
        <w:t>表2</w:t>
      </w:r>
      <w:r>
        <w:rPr>
          <w:rFonts w:asciiTheme="minorEastAsia" w:hAnsiTheme="minorEastAsia"/>
        </w:rPr>
        <w:t xml:space="preserve"> </w:t>
      </w:r>
      <w:r>
        <w:rPr>
          <w:rFonts w:hint="eastAsia" w:asciiTheme="minorEastAsia" w:hAnsiTheme="minorEastAsia"/>
        </w:rPr>
        <w:t>公共必修课</w:t>
      </w:r>
    </w:p>
    <w:tbl>
      <w:tblPr>
        <w:tblStyle w:val="15"/>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858"/>
        <w:gridCol w:w="592"/>
        <w:gridCol w:w="1176"/>
        <w:gridCol w:w="2113"/>
        <w:gridCol w:w="2002"/>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576" w:type="dxa"/>
            <w:vAlign w:val="center"/>
          </w:tcPr>
          <w:p>
            <w:pPr>
              <w:jc w:val="center"/>
              <w:rPr>
                <w:rFonts w:asciiTheme="minorEastAsia" w:hAnsiTheme="minorEastAsia"/>
                <w:sz w:val="18"/>
                <w:szCs w:val="18"/>
              </w:rPr>
            </w:pPr>
            <w:bookmarkStart w:id="14" w:name="_Toc89793274"/>
            <w:r>
              <w:rPr>
                <w:rFonts w:hint="eastAsia" w:asciiTheme="minorEastAsia" w:hAnsiTheme="minorEastAsia"/>
                <w:sz w:val="18"/>
                <w:szCs w:val="18"/>
              </w:rPr>
              <w:t>序号</w:t>
            </w:r>
          </w:p>
        </w:tc>
        <w:tc>
          <w:tcPr>
            <w:tcW w:w="1858" w:type="dxa"/>
            <w:vAlign w:val="center"/>
          </w:tcPr>
          <w:p>
            <w:pPr>
              <w:jc w:val="center"/>
              <w:rPr>
                <w:rFonts w:asciiTheme="minorEastAsia" w:hAnsiTheme="minorEastAsia"/>
                <w:sz w:val="18"/>
                <w:szCs w:val="18"/>
              </w:rPr>
            </w:pPr>
            <w:r>
              <w:rPr>
                <w:rFonts w:hint="eastAsia" w:asciiTheme="minorEastAsia" w:hAnsiTheme="minorEastAsia"/>
                <w:sz w:val="18"/>
                <w:szCs w:val="18"/>
              </w:rPr>
              <w:t>课程名称</w:t>
            </w:r>
          </w:p>
        </w:tc>
        <w:tc>
          <w:tcPr>
            <w:tcW w:w="592" w:type="dxa"/>
            <w:vAlign w:val="center"/>
          </w:tcPr>
          <w:p>
            <w:pPr>
              <w:jc w:val="center"/>
              <w:rPr>
                <w:rFonts w:asciiTheme="minorEastAsia" w:hAnsiTheme="minorEastAsia"/>
                <w:sz w:val="18"/>
                <w:szCs w:val="18"/>
              </w:rPr>
            </w:pPr>
            <w:r>
              <w:rPr>
                <w:rFonts w:hint="eastAsia" w:asciiTheme="minorEastAsia" w:hAnsiTheme="minorEastAsia"/>
                <w:sz w:val="18"/>
                <w:szCs w:val="18"/>
              </w:rPr>
              <w:t>学分</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学时</w:t>
            </w:r>
          </w:p>
        </w:tc>
        <w:tc>
          <w:tcPr>
            <w:tcW w:w="2113" w:type="dxa"/>
            <w:vAlign w:val="center"/>
          </w:tcPr>
          <w:p>
            <w:pPr>
              <w:jc w:val="center"/>
              <w:rPr>
                <w:rFonts w:asciiTheme="minorEastAsia" w:hAnsiTheme="minorEastAsia"/>
                <w:sz w:val="18"/>
                <w:szCs w:val="18"/>
              </w:rPr>
            </w:pPr>
            <w:r>
              <w:rPr>
                <w:rFonts w:hint="eastAsia" w:asciiTheme="minorEastAsia" w:hAnsiTheme="minorEastAsia"/>
                <w:sz w:val="18"/>
                <w:szCs w:val="18"/>
              </w:rPr>
              <w:t>课程目标</w:t>
            </w:r>
          </w:p>
        </w:tc>
        <w:tc>
          <w:tcPr>
            <w:tcW w:w="2002" w:type="dxa"/>
            <w:vAlign w:val="center"/>
          </w:tcPr>
          <w:p>
            <w:pPr>
              <w:jc w:val="center"/>
              <w:rPr>
                <w:rFonts w:asciiTheme="minorEastAsia" w:hAnsiTheme="minorEastAsia"/>
                <w:sz w:val="18"/>
                <w:szCs w:val="18"/>
              </w:rPr>
            </w:pPr>
            <w:r>
              <w:rPr>
                <w:rFonts w:hint="eastAsia" w:asciiTheme="minorEastAsia" w:hAnsiTheme="minorEastAsia"/>
                <w:sz w:val="18"/>
                <w:szCs w:val="18"/>
              </w:rPr>
              <w:t>主要内容和教学要求</w:t>
            </w:r>
          </w:p>
        </w:tc>
        <w:tc>
          <w:tcPr>
            <w:tcW w:w="580" w:type="dxa"/>
            <w:vAlign w:val="center"/>
          </w:tcPr>
          <w:p>
            <w:pPr>
              <w:jc w:val="center"/>
              <w:rPr>
                <w:rFonts w:asciiTheme="minorEastAsia" w:hAnsiTheme="minorEastAsia"/>
                <w:sz w:val="18"/>
                <w:szCs w:val="18"/>
              </w:rPr>
            </w:pPr>
            <w:r>
              <w:rPr>
                <w:rFonts w:hint="eastAsia" w:asciiTheme="minorEastAsia" w:hAnsi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1858" w:type="dxa"/>
            <w:vAlign w:val="center"/>
          </w:tcPr>
          <w:p>
            <w:pPr>
              <w:rPr>
                <w:rFonts w:asciiTheme="minorEastAsia" w:hAnsiTheme="minorEastAsia"/>
                <w:sz w:val="18"/>
                <w:szCs w:val="18"/>
              </w:rPr>
            </w:pPr>
            <w:r>
              <w:rPr>
                <w:rFonts w:hint="eastAsia" w:asciiTheme="minorEastAsia" w:hAnsiTheme="minorEastAsia"/>
                <w:sz w:val="18"/>
                <w:szCs w:val="18"/>
              </w:rPr>
              <w:t>习近平新时代中国特色社会主义思想概论</w:t>
            </w:r>
          </w:p>
        </w:tc>
        <w:tc>
          <w:tcPr>
            <w:tcW w:w="592" w:type="dxa"/>
            <w:vAlign w:val="center"/>
          </w:tcPr>
          <w:p>
            <w:pPr>
              <w:rPr>
                <w:rFonts w:asciiTheme="minorEastAsia" w:hAnsiTheme="minorEastAsia"/>
                <w:sz w:val="18"/>
                <w:szCs w:val="18"/>
              </w:rPr>
            </w:pPr>
            <w:r>
              <w:rPr>
                <w:rFonts w:hint="eastAsia" w:asciiTheme="minorEastAsia" w:hAnsiTheme="minorEastAsia"/>
                <w:sz w:val="18"/>
                <w:szCs w:val="18"/>
              </w:rPr>
              <w:t>3</w:t>
            </w:r>
            <w:r>
              <w:rPr>
                <w:rFonts w:asciiTheme="minorEastAsia" w:hAnsiTheme="minorEastAsia"/>
                <w:sz w:val="18"/>
                <w:szCs w:val="18"/>
              </w:rPr>
              <w:t>.0</w:t>
            </w:r>
          </w:p>
        </w:tc>
        <w:tc>
          <w:tcPr>
            <w:tcW w:w="1176" w:type="dxa"/>
            <w:vAlign w:val="center"/>
          </w:tcPr>
          <w:p>
            <w:pPr>
              <w:jc w:val="center"/>
              <w:rPr>
                <w:rFonts w:asciiTheme="minorEastAsia" w:hAnsiTheme="minorEastAsia"/>
                <w:sz w:val="18"/>
                <w:szCs w:val="18"/>
              </w:rPr>
            </w:pPr>
            <w:r>
              <w:rPr>
                <w:rFonts w:asciiTheme="minorEastAsia" w:hAnsiTheme="minorEastAsia"/>
                <w:sz w:val="18"/>
                <w:szCs w:val="18"/>
              </w:rPr>
              <w:t>60</w:t>
            </w:r>
          </w:p>
          <w:p>
            <w:pPr>
              <w:jc w:val="center"/>
              <w:rPr>
                <w:rFonts w:asciiTheme="minorEastAsia" w:hAnsiTheme="minorEastAsia"/>
                <w:sz w:val="18"/>
                <w:szCs w:val="18"/>
              </w:rPr>
            </w:pPr>
            <w:r>
              <w:rPr>
                <w:rFonts w:hint="eastAsia" w:asciiTheme="minorEastAsia" w:hAnsiTheme="minorEastAsia"/>
                <w:sz w:val="18"/>
                <w:szCs w:val="18"/>
              </w:rPr>
              <w:t>其中理论52，实践8</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帮助学生深入领会习近平新时代中国特色社会主义思想的核心要义、精神实质、丰富内涵、实践要求，深刻理解其科学体系及历史地位，进一步增强大学生的“四个意识”，坚定“四个自信”，做到“两个维护”。</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w:t>
            </w:r>
            <w:r>
              <w:rPr>
                <w:rFonts w:hint="eastAsia" w:asciiTheme="minorEastAsia" w:hAnsiTheme="minorEastAsia"/>
                <w:sz w:val="18"/>
                <w:szCs w:val="18"/>
              </w:rPr>
              <w:t>课程的教学内容主要包括习近平强军思想、外交思想、法治思想、生态文明思想、经济思想以及总体国家安全观等。</w:t>
            </w:r>
          </w:p>
          <w:p>
            <w:pPr>
              <w:rPr>
                <w:rFonts w:asciiTheme="minorEastAsia" w:hAnsiTheme="minorEastAsia"/>
                <w:sz w:val="18"/>
                <w:szCs w:val="18"/>
              </w:rPr>
            </w:pPr>
            <w:r>
              <w:rPr>
                <w:rFonts w:hint="eastAsia" w:asciiTheme="minorEastAsia" w:hAnsiTheme="minorEastAsia"/>
                <w:sz w:val="18"/>
                <w:szCs w:val="18"/>
              </w:rPr>
              <w:t>2.课程教学以教师课堂讲授为主，实践教学、自主学习为辅。</w:t>
            </w:r>
          </w:p>
          <w:p>
            <w:pPr>
              <w:rPr>
                <w:rFonts w:asciiTheme="minorEastAsia" w:hAnsi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课程考核方式为考试。</w:t>
            </w:r>
          </w:p>
        </w:tc>
        <w:tc>
          <w:tcPr>
            <w:tcW w:w="580" w:type="dxa"/>
            <w:vAlign w:val="center"/>
          </w:tcPr>
          <w:p>
            <w:pP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5" w:hRule="atLeast"/>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1858" w:type="dxa"/>
            <w:vAlign w:val="center"/>
          </w:tcPr>
          <w:p>
            <w:pPr>
              <w:rPr>
                <w:rFonts w:asciiTheme="minorEastAsia" w:hAnsiTheme="minorEastAsia"/>
                <w:sz w:val="18"/>
                <w:szCs w:val="18"/>
              </w:rPr>
            </w:pPr>
            <w:r>
              <w:rPr>
                <w:rFonts w:hint="eastAsia" w:asciiTheme="minorEastAsia" w:hAnsiTheme="minorEastAsia"/>
                <w:sz w:val="18"/>
                <w:szCs w:val="18"/>
              </w:rPr>
              <w:t>毛泽东思想和中国特色社会主义理论体系概论</w:t>
            </w:r>
          </w:p>
        </w:tc>
        <w:tc>
          <w:tcPr>
            <w:tcW w:w="592" w:type="dxa"/>
            <w:vAlign w:val="center"/>
          </w:tcPr>
          <w:p>
            <w:pPr>
              <w:rPr>
                <w:rFonts w:asciiTheme="minorEastAsia" w:hAnsiTheme="minorEastAsia"/>
                <w:sz w:val="18"/>
                <w:szCs w:val="18"/>
              </w:rPr>
            </w:pPr>
            <w:r>
              <w:rPr>
                <w:rFonts w:asciiTheme="minorEastAsia" w:hAnsiTheme="minorEastAsia"/>
                <w:sz w:val="18"/>
                <w:szCs w:val="18"/>
              </w:rPr>
              <w:t>2</w:t>
            </w:r>
            <w:r>
              <w:rPr>
                <w:rFonts w:hint="eastAsia" w:asciiTheme="minorEastAsia" w:hAnsiTheme="minorEastAsia"/>
                <w:sz w:val="18"/>
                <w:szCs w:val="18"/>
              </w:rPr>
              <w:t>.0</w:t>
            </w:r>
          </w:p>
        </w:tc>
        <w:tc>
          <w:tcPr>
            <w:tcW w:w="1176" w:type="dxa"/>
            <w:vAlign w:val="center"/>
          </w:tcPr>
          <w:p>
            <w:pPr>
              <w:jc w:val="center"/>
              <w:rPr>
                <w:rFonts w:asciiTheme="minorEastAsia" w:hAnsiTheme="minorEastAsia"/>
                <w:sz w:val="18"/>
                <w:szCs w:val="18"/>
              </w:rPr>
            </w:pPr>
            <w:r>
              <w:rPr>
                <w:rFonts w:asciiTheme="minorEastAsia" w:hAnsiTheme="minorEastAsia"/>
                <w:sz w:val="18"/>
                <w:szCs w:val="18"/>
              </w:rPr>
              <w:t>36</w:t>
            </w:r>
          </w:p>
          <w:p>
            <w:pPr>
              <w:jc w:val="center"/>
              <w:rPr>
                <w:rFonts w:asciiTheme="minorEastAsia" w:hAnsiTheme="minorEastAsia"/>
                <w:sz w:val="18"/>
                <w:szCs w:val="18"/>
              </w:rPr>
            </w:pPr>
            <w:r>
              <w:rPr>
                <w:rFonts w:hint="eastAsia" w:asciiTheme="minorEastAsia" w:hAnsiTheme="minorEastAsia"/>
                <w:sz w:val="18"/>
                <w:szCs w:val="18"/>
              </w:rPr>
              <w:t>其中理论32，实践4</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帮助学生理解毛泽东思想、邓小平理论、“三个代表”重要思想、科学发展观、习近平新时代中国特色社会主义思想是一脉相承又与时俱进的科学体系，引导学生深刻理解中国共产党为什么能、马克思主义为什么行、中国特色社会主义为什么好，坚定“四个自信”。</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1.课程的教学内容主要包括中国共产党把马克思主义基本原理同中国具体实际相结合产生的马克思主义中国化的两大理论成果。</w:t>
            </w:r>
          </w:p>
          <w:p>
            <w:pPr>
              <w:rPr>
                <w:rFonts w:asciiTheme="minorEastAsia" w:hAnsiTheme="minorEastAsia"/>
                <w:sz w:val="18"/>
                <w:szCs w:val="18"/>
              </w:rPr>
            </w:pPr>
            <w:r>
              <w:rPr>
                <w:rFonts w:hint="eastAsia" w:asciiTheme="minorEastAsia" w:hAnsiTheme="minorEastAsia"/>
                <w:sz w:val="18"/>
                <w:szCs w:val="18"/>
              </w:rPr>
              <w:t>2.课程教学以教师课堂讲授为主，实践教学、自主学习为辅。</w:t>
            </w:r>
          </w:p>
          <w:p>
            <w:pPr>
              <w:rPr>
                <w:rFonts w:asciiTheme="minorEastAsia" w:hAnsi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课程考核方式为考试。</w:t>
            </w:r>
          </w:p>
        </w:tc>
        <w:tc>
          <w:tcPr>
            <w:tcW w:w="580" w:type="dxa"/>
            <w:vAlign w:val="center"/>
          </w:tcPr>
          <w:p>
            <w:pP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1858" w:type="dxa"/>
            <w:vAlign w:val="center"/>
          </w:tcPr>
          <w:p>
            <w:pPr>
              <w:rPr>
                <w:rFonts w:asciiTheme="minorEastAsia" w:hAnsiTheme="minorEastAsia"/>
                <w:sz w:val="18"/>
                <w:szCs w:val="18"/>
              </w:rPr>
            </w:pPr>
            <w:r>
              <w:rPr>
                <w:rFonts w:hint="eastAsia" w:asciiTheme="minorEastAsia" w:hAnsiTheme="minorEastAsia"/>
                <w:sz w:val="18"/>
                <w:szCs w:val="18"/>
              </w:rPr>
              <w:t>思想道德与法治</w:t>
            </w:r>
          </w:p>
        </w:tc>
        <w:tc>
          <w:tcPr>
            <w:tcW w:w="592" w:type="dxa"/>
            <w:vAlign w:val="center"/>
          </w:tcPr>
          <w:p>
            <w:pPr>
              <w:rPr>
                <w:rFonts w:asciiTheme="minorEastAsia" w:hAnsiTheme="minorEastAsia"/>
                <w:sz w:val="18"/>
                <w:szCs w:val="18"/>
              </w:rPr>
            </w:pPr>
            <w:r>
              <w:rPr>
                <w:rFonts w:hint="eastAsia" w:asciiTheme="minorEastAsia" w:hAnsiTheme="minorEastAsia"/>
                <w:sz w:val="18"/>
                <w:szCs w:val="18"/>
              </w:rPr>
              <w:t>3.0</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58</w:t>
            </w:r>
          </w:p>
          <w:p>
            <w:pPr>
              <w:jc w:val="center"/>
              <w:rPr>
                <w:rFonts w:asciiTheme="minorEastAsia" w:hAnsiTheme="minorEastAsia"/>
                <w:sz w:val="18"/>
                <w:szCs w:val="18"/>
              </w:rPr>
            </w:pPr>
            <w:r>
              <w:rPr>
                <w:rFonts w:hint="eastAsia" w:asciiTheme="minorEastAsia" w:hAnsiTheme="minorEastAsia"/>
                <w:sz w:val="18"/>
                <w:szCs w:val="18"/>
              </w:rPr>
              <w:t>其中理论50，实践8</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帮助学生树立正确的人生观、价值观、道德观、法治观，筑牢理想信念之基，培育和践行社会主义核心价值观，传承中华传统美德，弘扬中国精神，尊重和维护宪法法律权威，提升思想道德素质和法治素养。</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1.课程的教学内容主要包括马克思主义的人生观、价值观、道德观、法治观，社会主义核心价值观与社会主义法治建设的关系。</w:t>
            </w:r>
          </w:p>
          <w:p>
            <w:pPr>
              <w:rPr>
                <w:rFonts w:asciiTheme="minorEastAsia" w:hAnsiTheme="minorEastAsia"/>
                <w:sz w:val="18"/>
                <w:szCs w:val="18"/>
              </w:rPr>
            </w:pPr>
            <w:r>
              <w:rPr>
                <w:rFonts w:hint="eastAsia" w:asciiTheme="minorEastAsia" w:hAnsiTheme="minorEastAsia"/>
                <w:sz w:val="18"/>
                <w:szCs w:val="18"/>
              </w:rPr>
              <w:t>2.课程教学以教师课堂讲授为主，实践教学、自主学习为辅。</w:t>
            </w:r>
          </w:p>
          <w:p>
            <w:pPr>
              <w:rPr>
                <w:rFonts w:asciiTheme="minorEastAsia" w:hAnsi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课程考核方式为考试。</w:t>
            </w:r>
          </w:p>
        </w:tc>
        <w:tc>
          <w:tcPr>
            <w:tcW w:w="580" w:type="dxa"/>
            <w:vAlign w:val="center"/>
          </w:tcPr>
          <w:p>
            <w:pP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4</w:t>
            </w:r>
          </w:p>
        </w:tc>
        <w:tc>
          <w:tcPr>
            <w:tcW w:w="1858" w:type="dxa"/>
            <w:vAlign w:val="center"/>
          </w:tcPr>
          <w:p>
            <w:pPr>
              <w:rPr>
                <w:rFonts w:asciiTheme="minorEastAsia" w:hAnsiTheme="minorEastAsia"/>
                <w:sz w:val="18"/>
                <w:szCs w:val="18"/>
              </w:rPr>
            </w:pPr>
            <w:r>
              <w:rPr>
                <w:rFonts w:hint="eastAsia" w:asciiTheme="minorEastAsia" w:hAnsiTheme="minorEastAsia"/>
                <w:sz w:val="18"/>
                <w:szCs w:val="18"/>
              </w:rPr>
              <w:t>形势与政策</w:t>
            </w:r>
          </w:p>
        </w:tc>
        <w:tc>
          <w:tcPr>
            <w:tcW w:w="592" w:type="dxa"/>
            <w:vAlign w:val="center"/>
          </w:tcPr>
          <w:p>
            <w:pPr>
              <w:rPr>
                <w:rFonts w:asciiTheme="minorEastAsia" w:hAnsiTheme="minorEastAsia"/>
                <w:sz w:val="18"/>
                <w:szCs w:val="18"/>
              </w:rPr>
            </w:pPr>
            <w:r>
              <w:rPr>
                <w:rFonts w:hint="eastAsia" w:asciiTheme="minorEastAsia" w:hAnsiTheme="minorEastAsia"/>
                <w:sz w:val="18"/>
                <w:szCs w:val="18"/>
              </w:rPr>
              <w:t>1.0</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40</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帮助学生准确理解当代中国马克思主义，深刻领会党和国家事业取得的历史性成就、面临的历史性机遇和挑战，引导大学生正确认识世界和中国发展大势，正确认识中国特色和国际比较，正确认识时代责任和历史使命，正确认识远大抱负和脚踏实地。</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1.课程的教学内容主要包括党的理论创新最新成果，新时代坚持和发展中国特色社会主义的生动实践，马克思主义形势观政策管、党的陆续方针政策、基本国情、国内外形势及其热点难点问题。</w:t>
            </w:r>
          </w:p>
          <w:p>
            <w:pPr>
              <w:rPr>
                <w:rFonts w:asciiTheme="minorEastAsia" w:hAnsiTheme="minorEastAsia"/>
                <w:sz w:val="18"/>
                <w:szCs w:val="18"/>
              </w:rPr>
            </w:pPr>
            <w:r>
              <w:rPr>
                <w:rFonts w:hint="eastAsia" w:asciiTheme="minorEastAsia" w:hAnsiTheme="minorEastAsia"/>
                <w:sz w:val="18"/>
                <w:szCs w:val="18"/>
              </w:rPr>
              <w:t>2.课程教学以教师课堂讲授为主，鼓励学生自主学习。</w:t>
            </w:r>
          </w:p>
          <w:p>
            <w:pPr>
              <w:rPr>
                <w:rFonts w:asciiTheme="minorEastAsia" w:hAnsi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课程考核方式为考查。</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纯理论课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6" w:hRule="atLeast"/>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5</w:t>
            </w:r>
          </w:p>
        </w:tc>
        <w:tc>
          <w:tcPr>
            <w:tcW w:w="1858" w:type="dxa"/>
            <w:vAlign w:val="center"/>
          </w:tcPr>
          <w:p>
            <w:pPr>
              <w:rPr>
                <w:rFonts w:asciiTheme="minorEastAsia" w:hAnsiTheme="minorEastAsia"/>
                <w:sz w:val="18"/>
                <w:szCs w:val="18"/>
              </w:rPr>
            </w:pPr>
            <w:r>
              <w:rPr>
                <w:rFonts w:hint="eastAsia" w:asciiTheme="minorEastAsia" w:hAnsiTheme="minorEastAsia"/>
                <w:sz w:val="18"/>
                <w:szCs w:val="18"/>
              </w:rPr>
              <w:t>马克思主义中国化进程与青年使命担当</w:t>
            </w:r>
          </w:p>
        </w:tc>
        <w:tc>
          <w:tcPr>
            <w:tcW w:w="592" w:type="dxa"/>
            <w:vAlign w:val="center"/>
          </w:tcPr>
          <w:p>
            <w:pPr>
              <w:rPr>
                <w:rFonts w:asciiTheme="minorEastAsia" w:hAnsiTheme="minorEastAsia"/>
                <w:sz w:val="18"/>
                <w:szCs w:val="18"/>
              </w:rPr>
            </w:pPr>
            <w:r>
              <w:rPr>
                <w:rFonts w:hint="eastAsia" w:asciiTheme="minorEastAsia" w:hAnsiTheme="minorEastAsia"/>
                <w:sz w:val="18"/>
                <w:szCs w:val="18"/>
              </w:rPr>
              <w:t>1.0</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20</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通过课程的学习，帮助学生认清马克思主义在不同时期的具体形态；强化学生使命担当；深化对习近平新时代中国特色社会主义思想理解。</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主要包括19世纪科学社会主义的创立与青年使命；五四精神与当代青年使命；新中国建立、社会主义建设与青年使命；改革开放时代与青年使命；中国特色社会主义新时代与时代新人；中国共产党领导与青年的政治使命等。</w:t>
            </w:r>
          </w:p>
          <w:p>
            <w:pPr>
              <w:rPr>
                <w:rFonts w:asciiTheme="minorEastAsia" w:hAnsiTheme="minorEastAsia"/>
                <w:sz w:val="18"/>
                <w:szCs w:val="18"/>
              </w:rPr>
            </w:pPr>
            <w:r>
              <w:rPr>
                <w:rFonts w:hint="eastAsia" w:asciiTheme="minorEastAsia" w:hAnsiTheme="minorEastAsia"/>
                <w:sz w:val="18"/>
                <w:szCs w:val="18"/>
              </w:rPr>
              <w:t>2.课程教学以教师课堂讲授为主，鼓励学生自主学习。</w:t>
            </w:r>
          </w:p>
          <w:p>
            <w:pPr>
              <w:rPr>
                <w:rFonts w:asciiTheme="minorEastAsia" w:hAnsi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课程考核方式为考查。</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纯理论课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6</w:t>
            </w:r>
          </w:p>
        </w:tc>
        <w:tc>
          <w:tcPr>
            <w:tcW w:w="1858" w:type="dxa"/>
            <w:vAlign w:val="center"/>
          </w:tcPr>
          <w:p>
            <w:pPr>
              <w:rPr>
                <w:rFonts w:asciiTheme="minorEastAsia" w:hAnsiTheme="minorEastAsia"/>
                <w:sz w:val="18"/>
                <w:szCs w:val="18"/>
              </w:rPr>
            </w:pPr>
            <w:r>
              <w:rPr>
                <w:rFonts w:hint="eastAsia" w:asciiTheme="minorEastAsia" w:hAnsiTheme="minorEastAsia"/>
                <w:sz w:val="18"/>
                <w:szCs w:val="18"/>
              </w:rPr>
              <w:t>中国共产党简史</w:t>
            </w:r>
          </w:p>
        </w:tc>
        <w:tc>
          <w:tcPr>
            <w:tcW w:w="592" w:type="dxa"/>
            <w:vAlign w:val="center"/>
          </w:tcPr>
          <w:p>
            <w:pPr>
              <w:rPr>
                <w:rFonts w:asciiTheme="minorEastAsia" w:hAnsiTheme="minorEastAsia"/>
                <w:sz w:val="18"/>
                <w:szCs w:val="18"/>
              </w:rPr>
            </w:pPr>
            <w:r>
              <w:rPr>
                <w:rFonts w:hint="eastAsia" w:asciiTheme="minorEastAsia" w:hAnsiTheme="minorEastAsia"/>
                <w:sz w:val="18"/>
                <w:szCs w:val="18"/>
              </w:rPr>
              <w:t>1.0</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16</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帮助学生从党的非凡历程中领会马克思主义是如何深刻改变中国、改变世界的，感悟马克思主义的真理力量和实践力量，深化对中国化马克思主义既一脉相承又与时俱进的理论品质的认识，认识党和国家事业取得历史性成就、发生历史性变革的进程，深刻学习领会新时代党的创新理论，坚持不懈用党的创新理论最新成果武装头脑、指导实践、推动工作，坚定“四个自信”、增强“四个意识”，做到“两个维护”。</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1.课程的教学内容主要围绕介绍中国共产党的成立至中华人民共和国成立时期，党的奋斗历程和伟大成就，用党的光荣传统和优良作风坚定信念、凝聚力量，用党的实践创造和历史经验启迪智慧、砥砺品格。</w:t>
            </w:r>
          </w:p>
          <w:p>
            <w:pPr>
              <w:rPr>
                <w:rFonts w:asciiTheme="minorEastAsia" w:hAnsiTheme="minorEastAsia"/>
                <w:sz w:val="18"/>
                <w:szCs w:val="18"/>
              </w:rPr>
            </w:pPr>
            <w:r>
              <w:rPr>
                <w:rFonts w:hint="eastAsia" w:asciiTheme="minorEastAsia" w:hAnsiTheme="minorEastAsia"/>
                <w:sz w:val="18"/>
                <w:szCs w:val="18"/>
              </w:rPr>
              <w:t>2.课程教学以教师课堂讲授为主，鼓励学生自主学习。</w:t>
            </w:r>
          </w:p>
          <w:p>
            <w:pPr>
              <w:rPr>
                <w:rFonts w:asciiTheme="minorEastAsia" w:hAnsi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课程考核方式为考查。</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纯理论课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7</w:t>
            </w:r>
          </w:p>
        </w:tc>
        <w:tc>
          <w:tcPr>
            <w:tcW w:w="1858" w:type="dxa"/>
            <w:vAlign w:val="center"/>
          </w:tcPr>
          <w:p>
            <w:pPr>
              <w:rPr>
                <w:rFonts w:asciiTheme="minorEastAsia" w:hAnsiTheme="minorEastAsia"/>
                <w:sz w:val="18"/>
                <w:szCs w:val="18"/>
              </w:rPr>
            </w:pPr>
            <w:r>
              <w:rPr>
                <w:rFonts w:hint="eastAsia" w:asciiTheme="minorEastAsia" w:hAnsiTheme="minorEastAsia"/>
                <w:sz w:val="18"/>
                <w:szCs w:val="18"/>
              </w:rPr>
              <w:t>军事理论</w:t>
            </w:r>
          </w:p>
        </w:tc>
        <w:tc>
          <w:tcPr>
            <w:tcW w:w="592" w:type="dxa"/>
            <w:vAlign w:val="center"/>
          </w:tcPr>
          <w:p>
            <w:pPr>
              <w:rPr>
                <w:rFonts w:asciiTheme="minorEastAsia" w:hAnsiTheme="minorEastAsia"/>
                <w:sz w:val="18"/>
                <w:szCs w:val="18"/>
              </w:rPr>
            </w:pPr>
            <w:r>
              <w:rPr>
                <w:rFonts w:hint="eastAsia" w:asciiTheme="minorEastAsia" w:hAnsiTheme="minorEastAsia"/>
                <w:sz w:val="18"/>
                <w:szCs w:val="18"/>
              </w:rPr>
              <w:t>2.0</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36</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通过军事课教学，让学生了解掌握军事基础知识和基本军事技能，增强国防观念、国家安全意识和忧患危机意识，弘扬爱国主义精神、传承红色基因、提高学生综合国防素质。</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1.课程的教学内容主要包括国防概述、国防法规、国防建设、国家安全形势等。</w:t>
            </w:r>
          </w:p>
          <w:p>
            <w:pPr>
              <w:rPr>
                <w:rFonts w:asciiTheme="minorEastAsia" w:hAnsiTheme="minorEastAsia"/>
                <w:sz w:val="18"/>
                <w:szCs w:val="18"/>
              </w:rPr>
            </w:pPr>
            <w:r>
              <w:rPr>
                <w:rFonts w:hint="eastAsia" w:asciiTheme="minorEastAsia" w:hAnsiTheme="minorEastAsia"/>
                <w:sz w:val="18"/>
                <w:szCs w:val="18"/>
              </w:rPr>
              <w:t>2.课程教学以教师课堂讲授为主，鼓励学生自主学习。</w:t>
            </w:r>
          </w:p>
          <w:p>
            <w:pPr>
              <w:rPr>
                <w:rFonts w:asciiTheme="minorEastAsia" w:hAnsi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课程考核方式为考查。</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纯理论课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8</w:t>
            </w:r>
          </w:p>
        </w:tc>
        <w:tc>
          <w:tcPr>
            <w:tcW w:w="1858" w:type="dxa"/>
            <w:vAlign w:val="center"/>
          </w:tcPr>
          <w:p>
            <w:pPr>
              <w:rPr>
                <w:rFonts w:asciiTheme="minorEastAsia" w:hAnsiTheme="minorEastAsia"/>
                <w:sz w:val="18"/>
                <w:szCs w:val="18"/>
              </w:rPr>
            </w:pPr>
            <w:r>
              <w:rPr>
                <w:rFonts w:hint="eastAsia" w:asciiTheme="minorEastAsia" w:hAnsiTheme="minorEastAsia"/>
                <w:sz w:val="18"/>
                <w:szCs w:val="18"/>
              </w:rPr>
              <w:t>军事技能</w:t>
            </w:r>
          </w:p>
        </w:tc>
        <w:tc>
          <w:tcPr>
            <w:tcW w:w="592" w:type="dxa"/>
            <w:vAlign w:val="center"/>
          </w:tcPr>
          <w:p>
            <w:pPr>
              <w:rPr>
                <w:rFonts w:asciiTheme="minorEastAsia" w:hAnsiTheme="minorEastAsia"/>
                <w:sz w:val="18"/>
                <w:szCs w:val="18"/>
              </w:rPr>
            </w:pPr>
            <w:r>
              <w:rPr>
                <w:rFonts w:hint="eastAsia" w:asciiTheme="minorEastAsia" w:hAnsiTheme="minorEastAsia"/>
                <w:sz w:val="18"/>
                <w:szCs w:val="18"/>
              </w:rPr>
              <w:t>2.0</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112</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通过基本的军事训练，培养学生服从协作、刻苦坚强的精神和良好的组织性、纪律性以及集体观念。通过入学教育使学生了解学院的规章制度，了解专业背景和所学专业。</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1.课程的教学内容包括军事技能训练、入学教育及专业认知等。</w:t>
            </w:r>
          </w:p>
          <w:p>
            <w:pPr>
              <w:rPr>
                <w:rFonts w:asciiTheme="minorEastAsia" w:hAnsiTheme="minorEastAsia"/>
                <w:sz w:val="18"/>
                <w:szCs w:val="18"/>
              </w:rPr>
            </w:pPr>
            <w:r>
              <w:rPr>
                <w:rFonts w:hint="eastAsia" w:asciiTheme="minorEastAsia" w:hAnsiTheme="minorEastAsia"/>
                <w:sz w:val="18"/>
                <w:szCs w:val="18"/>
              </w:rPr>
              <w:t>2.军事技能训练原则上在新生报到后集中进行。</w:t>
            </w:r>
          </w:p>
          <w:p>
            <w:pPr>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军事技能训练考核分项目进行考核并严格考勤考核制度，实施过程化评价。军训教官由承训部队选派。</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纯实践课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9</w:t>
            </w:r>
          </w:p>
        </w:tc>
        <w:tc>
          <w:tcPr>
            <w:tcW w:w="1858" w:type="dxa"/>
            <w:vAlign w:val="center"/>
          </w:tcPr>
          <w:p>
            <w:pPr>
              <w:rPr>
                <w:rFonts w:asciiTheme="minorEastAsia" w:hAnsiTheme="minorEastAsia"/>
                <w:sz w:val="18"/>
                <w:szCs w:val="18"/>
              </w:rPr>
            </w:pPr>
            <w:r>
              <w:rPr>
                <w:rFonts w:hint="eastAsia" w:asciiTheme="minorEastAsia" w:hAnsiTheme="minorEastAsia"/>
                <w:sz w:val="18"/>
                <w:szCs w:val="18"/>
              </w:rPr>
              <w:t>大学生心理健康教育</w:t>
            </w:r>
          </w:p>
        </w:tc>
        <w:tc>
          <w:tcPr>
            <w:tcW w:w="592" w:type="dxa"/>
            <w:vAlign w:val="center"/>
          </w:tcPr>
          <w:p>
            <w:pPr>
              <w:rPr>
                <w:rFonts w:asciiTheme="minorEastAsia" w:hAnsiTheme="minorEastAsia"/>
                <w:sz w:val="18"/>
                <w:szCs w:val="18"/>
              </w:rPr>
            </w:pPr>
            <w:r>
              <w:rPr>
                <w:rFonts w:hint="eastAsia" w:asciiTheme="minorEastAsia" w:hAnsiTheme="minorEastAsia"/>
                <w:sz w:val="18"/>
                <w:szCs w:val="18"/>
              </w:rPr>
              <w:t>2.0</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36</w:t>
            </w:r>
          </w:p>
          <w:p>
            <w:pPr>
              <w:jc w:val="center"/>
              <w:rPr>
                <w:rFonts w:asciiTheme="minorEastAsia" w:hAnsiTheme="minorEastAsia"/>
                <w:sz w:val="18"/>
                <w:szCs w:val="18"/>
              </w:rPr>
            </w:pPr>
            <w:r>
              <w:rPr>
                <w:rFonts w:hint="eastAsia" w:asciiTheme="minorEastAsia" w:hAnsiTheme="minorEastAsia"/>
                <w:sz w:val="18"/>
                <w:szCs w:val="18"/>
              </w:rPr>
              <w:t>其中理论8，实践28</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通过课程的学习，提高大学生的心理素质，充分开发大学生的潜能，培养大学生乐观向上的心理品质，促进大学生人格的健全发展。</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1.课程的教学内容主要包括大学生心理健康的标准，保持心理健康的途径，如何适应新的环境，如何处理学业困境，如何完善自我并实现自己的人生理想和目标，以及心理障碍的有关概念及求助途径等。</w:t>
            </w:r>
          </w:p>
          <w:p>
            <w:pPr>
              <w:rPr>
                <w:rFonts w:asciiTheme="minorEastAsia" w:hAnsiTheme="minorEastAsia"/>
                <w:sz w:val="18"/>
                <w:szCs w:val="18"/>
              </w:rPr>
            </w:pPr>
            <w:r>
              <w:rPr>
                <w:rFonts w:hint="eastAsia" w:asciiTheme="minorEastAsia" w:hAnsiTheme="minorEastAsia"/>
                <w:sz w:val="18"/>
                <w:szCs w:val="18"/>
              </w:rPr>
              <w:t>2.课程教学以教师课堂讲授为主，实践教学、自主学习为辅。</w:t>
            </w:r>
          </w:p>
          <w:p>
            <w:pPr>
              <w:rPr>
                <w:rFonts w:asciiTheme="minorEastAsia" w:hAnsi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课程考核方式为考查。</w:t>
            </w:r>
          </w:p>
        </w:tc>
        <w:tc>
          <w:tcPr>
            <w:tcW w:w="580" w:type="dxa"/>
            <w:vAlign w:val="center"/>
          </w:tcPr>
          <w:p>
            <w:pP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10</w:t>
            </w:r>
          </w:p>
        </w:tc>
        <w:tc>
          <w:tcPr>
            <w:tcW w:w="1858" w:type="dxa"/>
            <w:vAlign w:val="center"/>
          </w:tcPr>
          <w:p>
            <w:pPr>
              <w:rPr>
                <w:rFonts w:asciiTheme="minorEastAsia" w:hAnsiTheme="minorEastAsia"/>
                <w:sz w:val="18"/>
                <w:szCs w:val="18"/>
              </w:rPr>
            </w:pPr>
            <w:r>
              <w:rPr>
                <w:rFonts w:hint="eastAsia" w:asciiTheme="minorEastAsia" w:hAnsiTheme="minorEastAsia"/>
                <w:sz w:val="18"/>
                <w:szCs w:val="18"/>
              </w:rPr>
              <w:t>大学生职业发展与就业指导</w:t>
            </w:r>
          </w:p>
        </w:tc>
        <w:tc>
          <w:tcPr>
            <w:tcW w:w="592" w:type="dxa"/>
            <w:vAlign w:val="center"/>
          </w:tcPr>
          <w:p>
            <w:pPr>
              <w:rPr>
                <w:rFonts w:asciiTheme="minorEastAsia" w:hAnsiTheme="minorEastAsia"/>
                <w:sz w:val="18"/>
                <w:szCs w:val="18"/>
              </w:rPr>
            </w:pPr>
            <w:r>
              <w:rPr>
                <w:rFonts w:hint="eastAsia" w:asciiTheme="minorEastAsia" w:hAnsiTheme="minorEastAsia"/>
                <w:sz w:val="18"/>
                <w:szCs w:val="18"/>
              </w:rPr>
              <w:t>2.0</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36</w:t>
            </w:r>
          </w:p>
          <w:p>
            <w:pPr>
              <w:jc w:val="center"/>
              <w:rPr>
                <w:rFonts w:asciiTheme="minorEastAsia" w:hAnsiTheme="minorEastAsia"/>
                <w:sz w:val="18"/>
                <w:szCs w:val="18"/>
              </w:rPr>
            </w:pPr>
            <w:r>
              <w:rPr>
                <w:rFonts w:hint="eastAsia" w:asciiTheme="minorEastAsia" w:hAnsiTheme="minorEastAsia"/>
                <w:sz w:val="18"/>
                <w:szCs w:val="18"/>
              </w:rPr>
              <w:t>其中理论24，实践12</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通过课程的学习，使学生正确了解职业生涯规划的重要意义，掌握系统职业生涯规划的方式方法，能够认清自我、解读职业、准确定位、锁定目标对职业发展进行正确规划。</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1.课程的教学内容主要包括职业生涯规划相关理论、职业生涯规划方式方法、自我认知、职业认知等。</w:t>
            </w:r>
          </w:p>
          <w:p>
            <w:pPr>
              <w:rPr>
                <w:rFonts w:asciiTheme="minorEastAsia" w:hAnsiTheme="minorEastAsia"/>
                <w:sz w:val="18"/>
                <w:szCs w:val="18"/>
              </w:rPr>
            </w:pPr>
            <w:r>
              <w:rPr>
                <w:rFonts w:hint="eastAsia" w:asciiTheme="minorEastAsia" w:hAnsiTheme="minorEastAsia"/>
                <w:sz w:val="18"/>
                <w:szCs w:val="18"/>
              </w:rPr>
              <w:t>2.课程教学以教师课堂讲授为主，实践教学、自主学习为辅。</w:t>
            </w:r>
          </w:p>
          <w:p>
            <w:pPr>
              <w:rPr>
                <w:rFonts w:asciiTheme="minorEastAsia" w:hAnsi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课程考核方式为考查。</w:t>
            </w:r>
          </w:p>
        </w:tc>
        <w:tc>
          <w:tcPr>
            <w:tcW w:w="580" w:type="dxa"/>
            <w:vAlign w:val="center"/>
          </w:tcPr>
          <w:p>
            <w:pP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11</w:t>
            </w:r>
          </w:p>
        </w:tc>
        <w:tc>
          <w:tcPr>
            <w:tcW w:w="1858" w:type="dxa"/>
            <w:vAlign w:val="center"/>
          </w:tcPr>
          <w:p>
            <w:pPr>
              <w:rPr>
                <w:rFonts w:asciiTheme="minorEastAsia" w:hAnsiTheme="minorEastAsia"/>
                <w:sz w:val="18"/>
                <w:szCs w:val="18"/>
              </w:rPr>
            </w:pPr>
            <w:r>
              <w:rPr>
                <w:rFonts w:hint="eastAsia" w:asciiTheme="minorEastAsia" w:hAnsiTheme="minorEastAsia"/>
                <w:sz w:val="18"/>
                <w:szCs w:val="18"/>
              </w:rPr>
              <w:t>创新创业</w:t>
            </w:r>
            <w:r>
              <w:rPr>
                <w:rFonts w:hint="eastAsia" w:asciiTheme="minorEastAsia" w:hAnsiTheme="minorEastAsia"/>
                <w:sz w:val="18"/>
                <w:szCs w:val="18"/>
                <w:lang w:val="en-US" w:eastAsia="zh-CN"/>
              </w:rPr>
              <w:t>基础</w:t>
            </w:r>
            <w:r>
              <w:rPr>
                <w:rFonts w:hint="eastAsia" w:asciiTheme="minorEastAsia" w:hAnsiTheme="minorEastAsia"/>
                <w:sz w:val="18"/>
                <w:szCs w:val="18"/>
              </w:rPr>
              <w:t>理论与方法</w:t>
            </w:r>
          </w:p>
        </w:tc>
        <w:tc>
          <w:tcPr>
            <w:tcW w:w="592" w:type="dxa"/>
            <w:vAlign w:val="center"/>
          </w:tcPr>
          <w:p>
            <w:pPr>
              <w:rPr>
                <w:rFonts w:asciiTheme="minorEastAsia" w:hAnsiTheme="minorEastAsia"/>
                <w:sz w:val="18"/>
                <w:szCs w:val="18"/>
              </w:rPr>
            </w:pPr>
            <w:r>
              <w:rPr>
                <w:rFonts w:hint="eastAsia" w:asciiTheme="minorEastAsia" w:hAnsiTheme="minorEastAsia"/>
                <w:sz w:val="18"/>
                <w:szCs w:val="18"/>
              </w:rPr>
              <w:t>2.0</w:t>
            </w:r>
          </w:p>
        </w:tc>
        <w:tc>
          <w:tcPr>
            <w:tcW w:w="1176" w:type="dxa"/>
            <w:vAlign w:val="center"/>
          </w:tcPr>
          <w:p>
            <w:pPr>
              <w:jc w:val="center"/>
              <w:rPr>
                <w:rFonts w:asciiTheme="minorEastAsia" w:hAnsiTheme="minorEastAsia"/>
                <w:sz w:val="18"/>
                <w:szCs w:val="18"/>
              </w:rPr>
            </w:pPr>
            <w:r>
              <w:rPr>
                <w:rFonts w:asciiTheme="minorEastAsia" w:hAnsiTheme="minorEastAsia"/>
                <w:sz w:val="18"/>
                <w:szCs w:val="18"/>
              </w:rPr>
              <w:t>36 其中理论 18，实践 18</w:t>
            </w:r>
          </w:p>
        </w:tc>
        <w:tc>
          <w:tcPr>
            <w:tcW w:w="2113" w:type="dxa"/>
            <w:vAlign w:val="center"/>
          </w:tcPr>
          <w:p>
            <w:pPr>
              <w:rPr>
                <w:rFonts w:asciiTheme="minorEastAsia" w:hAnsiTheme="minorEastAsia"/>
                <w:sz w:val="18"/>
                <w:szCs w:val="18"/>
              </w:rPr>
            </w:pPr>
            <w:r>
              <w:rPr>
                <w:rFonts w:asciiTheme="minorEastAsia" w:hAnsiTheme="minorEastAsia"/>
                <w:sz w:val="18"/>
                <w:szCs w:val="18"/>
              </w:rPr>
              <w:t>掌握创新创业基本常识， 了解创新创业的各类知 识类别，学会制定创新创 业策划书，完成基础创新 创业训练。培育学生创新 思维，激发学生会创新意 识，培养学生创业精神， 锻炼学生创业能力。</w:t>
            </w:r>
          </w:p>
        </w:tc>
        <w:tc>
          <w:tcPr>
            <w:tcW w:w="2002" w:type="dxa"/>
            <w:vAlign w:val="center"/>
          </w:tcPr>
          <w:p>
            <w:pPr>
              <w:rPr>
                <w:rFonts w:asciiTheme="minorEastAsia" w:hAnsiTheme="minorEastAsia"/>
                <w:sz w:val="18"/>
                <w:szCs w:val="18"/>
              </w:rPr>
            </w:pPr>
            <w:r>
              <w:rPr>
                <w:rFonts w:asciiTheme="minorEastAsia" w:hAnsiTheme="minorEastAsia"/>
                <w:sz w:val="18"/>
                <w:szCs w:val="18"/>
              </w:rPr>
              <w:t>1.课程的教学内容主 要包括大学生创新的 理论基础，大学生创新 的实践方法，创业机会 识别与项目选择，创业 团队组建与创新资源 整合等。 2.课程教学采用实际 案例和体验式的教学 方式。 3.课程考核方式为考查。</w:t>
            </w:r>
          </w:p>
        </w:tc>
        <w:tc>
          <w:tcPr>
            <w:tcW w:w="580" w:type="dxa"/>
            <w:vAlign w:val="center"/>
          </w:tcPr>
          <w:p>
            <w:pP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1" w:hRule="atLeast"/>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12</w:t>
            </w:r>
          </w:p>
        </w:tc>
        <w:tc>
          <w:tcPr>
            <w:tcW w:w="1858" w:type="dxa"/>
            <w:vAlign w:val="center"/>
          </w:tcPr>
          <w:p>
            <w:pPr>
              <w:rPr>
                <w:rFonts w:asciiTheme="minorEastAsia" w:hAnsiTheme="minorEastAsia"/>
                <w:sz w:val="18"/>
                <w:szCs w:val="18"/>
              </w:rPr>
            </w:pPr>
            <w:r>
              <w:rPr>
                <w:rFonts w:hint="eastAsia" w:asciiTheme="minorEastAsia" w:hAnsiTheme="minorEastAsia"/>
                <w:sz w:val="18"/>
                <w:szCs w:val="18"/>
              </w:rPr>
              <w:t>创新创业实践</w:t>
            </w:r>
          </w:p>
        </w:tc>
        <w:tc>
          <w:tcPr>
            <w:tcW w:w="592" w:type="dxa"/>
            <w:vAlign w:val="center"/>
          </w:tcPr>
          <w:p>
            <w:pPr>
              <w:rPr>
                <w:rFonts w:asciiTheme="minorEastAsia" w:hAnsiTheme="minorEastAsia"/>
                <w:sz w:val="18"/>
                <w:szCs w:val="18"/>
              </w:rPr>
            </w:pPr>
            <w:r>
              <w:rPr>
                <w:rFonts w:hint="eastAsia" w:asciiTheme="minorEastAsia" w:hAnsiTheme="minorEastAsia"/>
                <w:sz w:val="18"/>
                <w:szCs w:val="18"/>
              </w:rPr>
              <w:t>1.0</w:t>
            </w:r>
          </w:p>
        </w:tc>
        <w:tc>
          <w:tcPr>
            <w:tcW w:w="1176" w:type="dxa"/>
            <w:vAlign w:val="center"/>
          </w:tcPr>
          <w:p>
            <w:pPr>
              <w:jc w:val="center"/>
              <w:rPr>
                <w:rFonts w:asciiTheme="minorEastAsia" w:hAnsiTheme="minorEastAsia"/>
                <w:sz w:val="18"/>
                <w:szCs w:val="18"/>
              </w:rPr>
            </w:pPr>
            <w:r>
              <w:rPr>
                <w:rFonts w:asciiTheme="minorEastAsia" w:hAnsiTheme="minorEastAsia"/>
                <w:sz w:val="18"/>
                <w:szCs w:val="18"/>
              </w:rPr>
              <w:t>20 其中理论 12，实践 8</w:t>
            </w:r>
          </w:p>
        </w:tc>
        <w:tc>
          <w:tcPr>
            <w:tcW w:w="2113" w:type="dxa"/>
            <w:vAlign w:val="center"/>
          </w:tcPr>
          <w:p>
            <w:pPr>
              <w:rPr>
                <w:rFonts w:asciiTheme="minorEastAsia" w:hAnsiTheme="minorEastAsia"/>
                <w:sz w:val="18"/>
                <w:szCs w:val="18"/>
              </w:rPr>
            </w:pPr>
            <w:r>
              <w:rPr>
                <w:rFonts w:asciiTheme="minorEastAsia" w:hAnsiTheme="minorEastAsia"/>
                <w:sz w:val="18"/>
                <w:szCs w:val="18"/>
              </w:rPr>
              <w:t>通过对大学生创新创业 竞赛的解析和模拟训练， 培养学生多学科思维融 合、产业技术与学科理论 融合、多学科项目实践融 合，跨专业能力融合，加 强学生的创新创业意识， 能够结合专业核心知识 开展创新研究、产品设计 与成果转化，提高学生深 度分析、大胆质疑、善于 创新、勇于实践的精神和 能力。</w:t>
            </w:r>
          </w:p>
        </w:tc>
        <w:tc>
          <w:tcPr>
            <w:tcW w:w="2002" w:type="dxa"/>
            <w:vAlign w:val="center"/>
          </w:tcPr>
          <w:p>
            <w:pPr>
              <w:rPr>
                <w:rFonts w:asciiTheme="minorEastAsia" w:hAnsiTheme="minorEastAsia"/>
                <w:sz w:val="18"/>
                <w:szCs w:val="18"/>
              </w:rPr>
            </w:pPr>
            <w:r>
              <w:rPr>
                <w:rFonts w:asciiTheme="minorEastAsia" w:hAnsiTheme="minorEastAsia"/>
                <w:sz w:val="18"/>
                <w:szCs w:val="18"/>
              </w:rPr>
              <w:t>1.课程的教学内容主 要包括大学生创新创 业主要赛事概况及团 队组建，中国国际“互 联网+”大学生创新创 业大赛解析，项目的路 演训练等。 2.课程教学依托“互联 网+”等创新创业竞赛， 建立项目化实践课程 教学标准，将课程教学 与项目指导、竞赛指导 进行绑定，实现学生学 习、实践、竞赛“三位 一体”学习。 3.课程考核方式为考查。</w:t>
            </w:r>
          </w:p>
        </w:tc>
        <w:tc>
          <w:tcPr>
            <w:tcW w:w="580" w:type="dxa"/>
            <w:vAlign w:val="center"/>
          </w:tcPr>
          <w:p>
            <w:pP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13</w:t>
            </w:r>
          </w:p>
        </w:tc>
        <w:tc>
          <w:tcPr>
            <w:tcW w:w="1858" w:type="dxa"/>
            <w:vAlign w:val="center"/>
          </w:tcPr>
          <w:p>
            <w:pPr>
              <w:rPr>
                <w:rFonts w:asciiTheme="minorEastAsia" w:hAnsiTheme="minorEastAsia"/>
                <w:sz w:val="18"/>
                <w:szCs w:val="18"/>
              </w:rPr>
            </w:pPr>
            <w:r>
              <w:rPr>
                <w:rFonts w:hint="eastAsia" w:asciiTheme="minorEastAsia" w:hAnsiTheme="minorEastAsia"/>
                <w:sz w:val="18"/>
                <w:szCs w:val="18"/>
              </w:rPr>
              <w:t>体育</w:t>
            </w:r>
          </w:p>
        </w:tc>
        <w:tc>
          <w:tcPr>
            <w:tcW w:w="592" w:type="dxa"/>
            <w:vAlign w:val="center"/>
          </w:tcPr>
          <w:p>
            <w:pPr>
              <w:rPr>
                <w:rFonts w:asciiTheme="minorEastAsia" w:hAnsiTheme="minorEastAsia"/>
                <w:sz w:val="18"/>
                <w:szCs w:val="18"/>
              </w:rPr>
            </w:pPr>
            <w:r>
              <w:rPr>
                <w:rFonts w:hint="eastAsia" w:asciiTheme="minorEastAsia" w:hAnsiTheme="minorEastAsia"/>
                <w:sz w:val="18"/>
                <w:szCs w:val="18"/>
              </w:rPr>
              <w:t>5.0</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108</w:t>
            </w:r>
          </w:p>
          <w:p>
            <w:pPr>
              <w:jc w:val="center"/>
              <w:rPr>
                <w:rFonts w:asciiTheme="minorEastAsia" w:hAnsiTheme="minorEastAsia"/>
                <w:sz w:val="18"/>
                <w:szCs w:val="18"/>
              </w:rPr>
            </w:pPr>
            <w:r>
              <w:rPr>
                <w:rFonts w:hint="eastAsia" w:asciiTheme="minorEastAsia" w:hAnsiTheme="minorEastAsia"/>
                <w:sz w:val="18"/>
                <w:szCs w:val="18"/>
              </w:rPr>
              <w:t>其中理论8，实践100</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通过课程的学习，培养学生积极参与体育健身的意识，掌握适合个人特点的运动健身技能，使学生成为道德健康、精神健康、身体健康和有良好社会适应能力的合格人才。</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1.课程的教学内容主要包括体育健身的基本理论知识，运动健身的基本技术、技能和方法等。</w:t>
            </w:r>
          </w:p>
          <w:p>
            <w:pPr>
              <w:rPr>
                <w:rFonts w:asciiTheme="minorEastAsia" w:hAnsiTheme="minorEastAsia"/>
                <w:sz w:val="18"/>
                <w:szCs w:val="18"/>
              </w:rPr>
            </w:pPr>
            <w:r>
              <w:rPr>
                <w:rFonts w:hint="eastAsia" w:asciiTheme="minorEastAsia" w:hAnsiTheme="minorEastAsia"/>
                <w:sz w:val="18"/>
                <w:szCs w:val="18"/>
              </w:rPr>
              <w:t>2.课程教学以实践教学为主，鼓励学生课后进行体育活动。</w:t>
            </w:r>
          </w:p>
          <w:p>
            <w:pPr>
              <w:rPr>
                <w:rFonts w:asciiTheme="minorEastAsia" w:hAnsi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课程考核方式为考试。</w:t>
            </w:r>
          </w:p>
        </w:tc>
        <w:tc>
          <w:tcPr>
            <w:tcW w:w="580" w:type="dxa"/>
            <w:vAlign w:val="center"/>
          </w:tcPr>
          <w:p>
            <w:pP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14</w:t>
            </w:r>
          </w:p>
        </w:tc>
        <w:tc>
          <w:tcPr>
            <w:tcW w:w="1858" w:type="dxa"/>
            <w:vAlign w:val="center"/>
          </w:tcPr>
          <w:p>
            <w:pPr>
              <w:rPr>
                <w:rFonts w:asciiTheme="minorEastAsia" w:hAnsiTheme="minorEastAsia"/>
                <w:sz w:val="18"/>
                <w:szCs w:val="18"/>
              </w:rPr>
            </w:pPr>
            <w:r>
              <w:rPr>
                <w:rFonts w:hint="eastAsia" w:asciiTheme="minorEastAsia" w:hAnsiTheme="minorEastAsia"/>
                <w:sz w:val="18"/>
                <w:szCs w:val="18"/>
              </w:rPr>
              <w:t>劳动教育</w:t>
            </w:r>
          </w:p>
        </w:tc>
        <w:tc>
          <w:tcPr>
            <w:tcW w:w="592" w:type="dxa"/>
            <w:vAlign w:val="center"/>
          </w:tcPr>
          <w:p>
            <w:pPr>
              <w:rPr>
                <w:rFonts w:asciiTheme="minorEastAsia" w:hAnsiTheme="minorEastAsia"/>
                <w:sz w:val="18"/>
                <w:szCs w:val="18"/>
              </w:rPr>
            </w:pPr>
            <w:r>
              <w:rPr>
                <w:rFonts w:hint="eastAsia" w:asciiTheme="minorEastAsia" w:hAnsiTheme="minorEastAsia"/>
                <w:sz w:val="18"/>
                <w:szCs w:val="18"/>
              </w:rPr>
              <w:t>2.0</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36</w:t>
            </w:r>
          </w:p>
          <w:p>
            <w:pPr>
              <w:jc w:val="center"/>
              <w:rPr>
                <w:rFonts w:asciiTheme="minorEastAsia" w:hAnsiTheme="minorEastAsia"/>
                <w:sz w:val="18"/>
                <w:szCs w:val="18"/>
              </w:rPr>
            </w:pPr>
            <w:r>
              <w:rPr>
                <w:rFonts w:hint="eastAsia" w:asciiTheme="minorEastAsia" w:hAnsiTheme="minorEastAsia"/>
                <w:sz w:val="18"/>
                <w:szCs w:val="18"/>
              </w:rPr>
              <w:t>其中理论4，实践32</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通过课程的学习，帮助学生树立正确的劳动观念，培育积极的劳动精神，正确认识劳动对于人类和社会发展的重要性，养成良好的劳动品质和习惯，积极参与各种劳动，不断增强劳动本领和提升劳动技能。</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1.课程的教学内容主要围绕劳动精神、劳模精神、工匠精神、劳动安全和劳动法规等方面，强化马克思主义劳动观教育、劳动法规与政策教育、劳动锻炼要求。</w:t>
            </w:r>
          </w:p>
          <w:p>
            <w:pPr>
              <w:rPr>
                <w:rFonts w:asciiTheme="minorEastAsia" w:hAnsiTheme="minorEastAsia"/>
                <w:sz w:val="18"/>
                <w:szCs w:val="18"/>
              </w:rPr>
            </w:pPr>
            <w:r>
              <w:rPr>
                <w:rFonts w:hint="eastAsia" w:asciiTheme="minorEastAsia" w:hAnsiTheme="minorEastAsia"/>
                <w:sz w:val="18"/>
                <w:szCs w:val="18"/>
              </w:rPr>
              <w:t>2.课程教学以实践教学为主，鼓励学生积极参加各类劳动教育活动。</w:t>
            </w:r>
          </w:p>
          <w:p>
            <w:pPr>
              <w:rPr>
                <w:rFonts w:asciiTheme="minorEastAsia" w:hAnsi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课程考核方式为考查。</w:t>
            </w:r>
          </w:p>
        </w:tc>
        <w:tc>
          <w:tcPr>
            <w:tcW w:w="580" w:type="dxa"/>
            <w:vAlign w:val="center"/>
          </w:tcPr>
          <w:p>
            <w:pPr>
              <w:rPr>
                <w:rFonts w:asciiTheme="minorEastAsia" w:hAnsiTheme="minorEastAsia"/>
                <w:sz w:val="18"/>
                <w:szCs w:val="18"/>
              </w:rPr>
            </w:pPr>
          </w:p>
        </w:tc>
      </w:tr>
    </w:tbl>
    <w:p>
      <w:pPr>
        <w:pStyle w:val="2"/>
        <w:spacing w:before="234" w:after="234"/>
        <w:ind w:left="420"/>
        <w:rPr>
          <w:rFonts w:hint="eastAsia"/>
        </w:rPr>
      </w:pPr>
    </w:p>
    <w:p>
      <w:pPr>
        <w:pStyle w:val="2"/>
        <w:spacing w:before="234" w:after="234"/>
        <w:ind w:left="420"/>
      </w:pPr>
      <w:r>
        <w:rPr>
          <w:rFonts w:hint="eastAsia"/>
        </w:rPr>
        <w:t>2.公共选修课</w:t>
      </w:r>
      <w:bookmarkEnd w:id="14"/>
    </w:p>
    <w:p>
      <w:pPr>
        <w:ind w:firstLine="420" w:firstLineChars="200"/>
      </w:pPr>
      <w:r>
        <w:rPr>
          <w:rFonts w:hint="eastAsia"/>
        </w:rPr>
        <w:t>本专业需完成的公共选修课见表</w:t>
      </w:r>
      <w:r>
        <w:t>3</w:t>
      </w:r>
      <w:r>
        <w:rPr>
          <w:rFonts w:hint="eastAsia"/>
        </w:rPr>
        <w:t>。</w:t>
      </w:r>
    </w:p>
    <w:p>
      <w:pPr>
        <w:jc w:val="center"/>
        <w:rPr>
          <w:rFonts w:hint="eastAsia"/>
        </w:rPr>
      </w:pPr>
    </w:p>
    <w:p>
      <w:pPr>
        <w:jc w:val="center"/>
      </w:pPr>
      <w:r>
        <w:rPr>
          <w:rFonts w:hint="eastAsia"/>
        </w:rPr>
        <w:t>表3</w:t>
      </w:r>
      <w:r>
        <w:t xml:space="preserve"> </w:t>
      </w:r>
      <w:r>
        <w:rPr>
          <w:rFonts w:hint="eastAsia"/>
        </w:rPr>
        <w:t>公共选修课</w:t>
      </w:r>
    </w:p>
    <w:tbl>
      <w:tblPr>
        <w:tblStyle w:val="15"/>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858"/>
        <w:gridCol w:w="592"/>
        <w:gridCol w:w="1176"/>
        <w:gridCol w:w="2113"/>
        <w:gridCol w:w="2002"/>
        <w:gridCol w:w="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序号</w:t>
            </w:r>
          </w:p>
        </w:tc>
        <w:tc>
          <w:tcPr>
            <w:tcW w:w="1858" w:type="dxa"/>
            <w:vAlign w:val="center"/>
          </w:tcPr>
          <w:p>
            <w:pPr>
              <w:jc w:val="center"/>
              <w:rPr>
                <w:rFonts w:asciiTheme="minorEastAsia" w:hAnsiTheme="minorEastAsia"/>
                <w:sz w:val="18"/>
                <w:szCs w:val="18"/>
              </w:rPr>
            </w:pPr>
            <w:r>
              <w:rPr>
                <w:rFonts w:hint="eastAsia" w:asciiTheme="minorEastAsia" w:hAnsiTheme="minorEastAsia"/>
                <w:sz w:val="18"/>
                <w:szCs w:val="18"/>
              </w:rPr>
              <w:t>课程名称</w:t>
            </w:r>
          </w:p>
        </w:tc>
        <w:tc>
          <w:tcPr>
            <w:tcW w:w="592" w:type="dxa"/>
            <w:vAlign w:val="center"/>
          </w:tcPr>
          <w:p>
            <w:pPr>
              <w:jc w:val="center"/>
              <w:rPr>
                <w:rFonts w:asciiTheme="minorEastAsia" w:hAnsiTheme="minorEastAsia"/>
                <w:sz w:val="18"/>
                <w:szCs w:val="18"/>
              </w:rPr>
            </w:pPr>
            <w:r>
              <w:rPr>
                <w:rFonts w:hint="eastAsia" w:asciiTheme="minorEastAsia" w:hAnsiTheme="minorEastAsia"/>
                <w:sz w:val="18"/>
                <w:szCs w:val="18"/>
              </w:rPr>
              <w:t>学分</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学时</w:t>
            </w:r>
          </w:p>
        </w:tc>
        <w:tc>
          <w:tcPr>
            <w:tcW w:w="2113" w:type="dxa"/>
            <w:vAlign w:val="center"/>
          </w:tcPr>
          <w:p>
            <w:pPr>
              <w:jc w:val="center"/>
              <w:rPr>
                <w:rFonts w:asciiTheme="minorEastAsia" w:hAnsiTheme="minorEastAsia"/>
                <w:sz w:val="18"/>
                <w:szCs w:val="18"/>
              </w:rPr>
            </w:pPr>
            <w:r>
              <w:rPr>
                <w:rFonts w:hint="eastAsia" w:asciiTheme="minorEastAsia" w:hAnsiTheme="minorEastAsia"/>
                <w:sz w:val="18"/>
                <w:szCs w:val="18"/>
              </w:rPr>
              <w:t>课程目标</w:t>
            </w:r>
          </w:p>
        </w:tc>
        <w:tc>
          <w:tcPr>
            <w:tcW w:w="2002" w:type="dxa"/>
            <w:vAlign w:val="center"/>
          </w:tcPr>
          <w:p>
            <w:pPr>
              <w:jc w:val="center"/>
              <w:rPr>
                <w:rFonts w:asciiTheme="minorEastAsia" w:hAnsiTheme="minorEastAsia"/>
                <w:sz w:val="18"/>
                <w:szCs w:val="18"/>
              </w:rPr>
            </w:pPr>
            <w:r>
              <w:rPr>
                <w:rFonts w:hint="eastAsia" w:asciiTheme="minorEastAsia" w:hAnsiTheme="minorEastAsia"/>
                <w:sz w:val="18"/>
                <w:szCs w:val="18"/>
              </w:rPr>
              <w:t>主要内容和教学要求</w:t>
            </w:r>
          </w:p>
        </w:tc>
        <w:tc>
          <w:tcPr>
            <w:tcW w:w="588" w:type="dxa"/>
            <w:vAlign w:val="center"/>
          </w:tcPr>
          <w:p>
            <w:pPr>
              <w:jc w:val="center"/>
              <w:rPr>
                <w:rFonts w:asciiTheme="minorEastAsia" w:hAnsiTheme="minorEastAsia"/>
                <w:sz w:val="18"/>
                <w:szCs w:val="18"/>
              </w:rPr>
            </w:pPr>
            <w:r>
              <w:rPr>
                <w:rFonts w:hint="eastAsia" w:asciiTheme="minorEastAsia" w:hAnsi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1858" w:type="dxa"/>
            <w:vAlign w:val="center"/>
          </w:tcPr>
          <w:p>
            <w:pPr>
              <w:rPr>
                <w:rFonts w:asciiTheme="minorEastAsia" w:hAnsiTheme="minorEastAsia"/>
                <w:sz w:val="18"/>
                <w:szCs w:val="18"/>
              </w:rPr>
            </w:pPr>
            <w:r>
              <w:rPr>
                <w:rFonts w:hint="eastAsia" w:asciiTheme="minorEastAsia" w:hAnsiTheme="minorEastAsia"/>
                <w:sz w:val="18"/>
                <w:szCs w:val="18"/>
              </w:rPr>
              <w:t>全校性公共选修课</w:t>
            </w:r>
          </w:p>
          <w:p>
            <w:pPr>
              <w:rPr>
                <w:rFonts w:asciiTheme="minorEastAsia" w:hAnsiTheme="minorEastAsia"/>
                <w:sz w:val="18"/>
                <w:szCs w:val="18"/>
              </w:rPr>
            </w:pPr>
            <w:r>
              <w:rPr>
                <w:rFonts w:hint="eastAsia" w:asciiTheme="minorEastAsia" w:hAnsiTheme="minorEastAsia"/>
                <w:sz w:val="18"/>
                <w:szCs w:val="18"/>
              </w:rPr>
              <w:t>（一门课程一般为1学分，学生在校期间须修满4学分）</w:t>
            </w:r>
          </w:p>
        </w:tc>
        <w:tc>
          <w:tcPr>
            <w:tcW w:w="592" w:type="dxa"/>
            <w:vAlign w:val="center"/>
          </w:tcPr>
          <w:p>
            <w:pPr>
              <w:rPr>
                <w:rFonts w:asciiTheme="minorEastAsia" w:hAnsiTheme="minorEastAsia"/>
                <w:sz w:val="18"/>
                <w:szCs w:val="18"/>
              </w:rPr>
            </w:pPr>
            <w:r>
              <w:rPr>
                <w:rFonts w:hint="eastAsia" w:asciiTheme="minorEastAsia" w:hAnsiTheme="minorEastAsia"/>
                <w:sz w:val="18"/>
                <w:szCs w:val="18"/>
              </w:rPr>
              <w:t>4.0</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72</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扩大学生的知识面、完善学生知识能力结构，培养和发展学生的兴趣和潜能。</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执行学校每学期公布的公共选修课目录，指导学生结合自身兴趣爱好选修相应课程。</w:t>
            </w:r>
          </w:p>
        </w:tc>
        <w:tc>
          <w:tcPr>
            <w:tcW w:w="588" w:type="dxa"/>
            <w:vAlign w:val="center"/>
          </w:tcPr>
          <w:p>
            <w:pPr>
              <w:rPr>
                <w:rFonts w:asciiTheme="minorEastAsia" w:hAnsiTheme="minorEastAsia"/>
                <w:sz w:val="18"/>
                <w:szCs w:val="18"/>
              </w:rPr>
            </w:pPr>
          </w:p>
        </w:tc>
      </w:tr>
    </w:tbl>
    <w:p>
      <w:pPr>
        <w:pStyle w:val="2"/>
        <w:spacing w:before="234" w:after="234"/>
        <w:ind w:left="420"/>
      </w:pPr>
      <w:bookmarkStart w:id="15" w:name="_Toc89793275"/>
      <w:r>
        <w:rPr>
          <w:rFonts w:hint="eastAsia"/>
        </w:rPr>
        <w:t>3.限定选修课</w:t>
      </w:r>
      <w:bookmarkEnd w:id="15"/>
    </w:p>
    <w:p>
      <w:pPr>
        <w:ind w:firstLine="420" w:firstLineChars="200"/>
      </w:pPr>
      <w:r>
        <w:rPr>
          <w:rFonts w:hint="eastAsia"/>
        </w:rPr>
        <w:t>本专业开设的限定选修课见表4。</w:t>
      </w:r>
    </w:p>
    <w:p>
      <w:pPr>
        <w:jc w:val="center"/>
      </w:pPr>
      <w:r>
        <w:rPr>
          <w:rFonts w:hint="eastAsia"/>
        </w:rPr>
        <w:t>表4</w:t>
      </w:r>
      <w:r>
        <w:t xml:space="preserve"> </w:t>
      </w:r>
      <w:r>
        <w:rPr>
          <w:rFonts w:hint="eastAsia"/>
        </w:rPr>
        <w:t>限定选修课</w:t>
      </w:r>
    </w:p>
    <w:tbl>
      <w:tblPr>
        <w:tblStyle w:val="15"/>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858"/>
        <w:gridCol w:w="592"/>
        <w:gridCol w:w="1176"/>
        <w:gridCol w:w="2113"/>
        <w:gridCol w:w="2002"/>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序号</w:t>
            </w:r>
          </w:p>
        </w:tc>
        <w:tc>
          <w:tcPr>
            <w:tcW w:w="1858" w:type="dxa"/>
            <w:vAlign w:val="center"/>
          </w:tcPr>
          <w:p>
            <w:pPr>
              <w:jc w:val="center"/>
              <w:rPr>
                <w:rFonts w:asciiTheme="minorEastAsia" w:hAnsiTheme="minorEastAsia"/>
                <w:sz w:val="18"/>
                <w:szCs w:val="18"/>
              </w:rPr>
            </w:pPr>
            <w:r>
              <w:rPr>
                <w:rFonts w:hint="eastAsia" w:asciiTheme="minorEastAsia" w:hAnsiTheme="minorEastAsia"/>
                <w:sz w:val="18"/>
                <w:szCs w:val="18"/>
              </w:rPr>
              <w:t>课程名称</w:t>
            </w:r>
          </w:p>
        </w:tc>
        <w:tc>
          <w:tcPr>
            <w:tcW w:w="592" w:type="dxa"/>
            <w:vAlign w:val="center"/>
          </w:tcPr>
          <w:p>
            <w:pPr>
              <w:jc w:val="center"/>
              <w:rPr>
                <w:rFonts w:asciiTheme="minorEastAsia" w:hAnsiTheme="minorEastAsia"/>
                <w:sz w:val="18"/>
                <w:szCs w:val="18"/>
              </w:rPr>
            </w:pPr>
            <w:r>
              <w:rPr>
                <w:rFonts w:hint="eastAsia" w:asciiTheme="minorEastAsia" w:hAnsiTheme="minorEastAsia"/>
                <w:sz w:val="18"/>
                <w:szCs w:val="18"/>
              </w:rPr>
              <w:t>学分</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学时</w:t>
            </w:r>
          </w:p>
        </w:tc>
        <w:tc>
          <w:tcPr>
            <w:tcW w:w="2113" w:type="dxa"/>
            <w:vAlign w:val="center"/>
          </w:tcPr>
          <w:p>
            <w:pPr>
              <w:jc w:val="center"/>
              <w:rPr>
                <w:rFonts w:asciiTheme="minorEastAsia" w:hAnsiTheme="minorEastAsia"/>
                <w:sz w:val="18"/>
                <w:szCs w:val="18"/>
              </w:rPr>
            </w:pPr>
            <w:r>
              <w:rPr>
                <w:rFonts w:hint="eastAsia" w:asciiTheme="minorEastAsia" w:hAnsiTheme="minorEastAsia"/>
                <w:sz w:val="18"/>
                <w:szCs w:val="18"/>
              </w:rPr>
              <w:t>课程目标</w:t>
            </w:r>
          </w:p>
        </w:tc>
        <w:tc>
          <w:tcPr>
            <w:tcW w:w="2002" w:type="dxa"/>
            <w:vAlign w:val="center"/>
          </w:tcPr>
          <w:p>
            <w:pPr>
              <w:jc w:val="center"/>
              <w:rPr>
                <w:rFonts w:asciiTheme="minorEastAsia" w:hAnsiTheme="minorEastAsia"/>
                <w:sz w:val="18"/>
                <w:szCs w:val="18"/>
              </w:rPr>
            </w:pPr>
            <w:r>
              <w:rPr>
                <w:rFonts w:hint="eastAsia" w:asciiTheme="minorEastAsia" w:hAnsiTheme="minorEastAsia"/>
                <w:sz w:val="18"/>
                <w:szCs w:val="18"/>
              </w:rPr>
              <w:t>主要内容和教学要求</w:t>
            </w:r>
          </w:p>
        </w:tc>
        <w:tc>
          <w:tcPr>
            <w:tcW w:w="580" w:type="dxa"/>
            <w:vAlign w:val="center"/>
          </w:tcPr>
          <w:p>
            <w:pPr>
              <w:jc w:val="center"/>
              <w:rPr>
                <w:rFonts w:asciiTheme="minorEastAsia" w:hAnsiTheme="minorEastAsia"/>
                <w:sz w:val="18"/>
                <w:szCs w:val="18"/>
              </w:rPr>
            </w:pPr>
            <w:r>
              <w:rPr>
                <w:rFonts w:hint="eastAsia" w:asciiTheme="minorEastAsia" w:hAnsi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1858" w:type="dxa"/>
            <w:vAlign w:val="center"/>
          </w:tcPr>
          <w:p>
            <w:pPr>
              <w:rPr>
                <w:rFonts w:asciiTheme="minorEastAsia" w:hAnsiTheme="minorEastAsia"/>
                <w:sz w:val="18"/>
                <w:szCs w:val="18"/>
              </w:rPr>
            </w:pPr>
            <w:r>
              <w:rPr>
                <w:rFonts w:hint="eastAsia" w:asciiTheme="minorEastAsia" w:hAnsiTheme="minorEastAsia"/>
                <w:sz w:val="18"/>
                <w:szCs w:val="18"/>
              </w:rPr>
              <w:t>计算机应用基础</w:t>
            </w:r>
          </w:p>
        </w:tc>
        <w:tc>
          <w:tcPr>
            <w:tcW w:w="592" w:type="dxa"/>
            <w:vAlign w:val="center"/>
          </w:tcPr>
          <w:p>
            <w:pPr>
              <w:rPr>
                <w:rFonts w:asciiTheme="minorEastAsia" w:hAnsiTheme="minorEastAsia"/>
                <w:sz w:val="18"/>
                <w:szCs w:val="18"/>
              </w:rPr>
            </w:pPr>
            <w:r>
              <w:rPr>
                <w:rFonts w:hint="eastAsia" w:asciiTheme="minorEastAsia" w:hAnsiTheme="minorEastAsia"/>
                <w:sz w:val="18"/>
                <w:szCs w:val="18"/>
              </w:rPr>
              <w:t>2.0</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32</w:t>
            </w:r>
          </w:p>
          <w:p>
            <w:pPr>
              <w:jc w:val="center"/>
              <w:rPr>
                <w:rFonts w:asciiTheme="minorEastAsia" w:hAnsiTheme="minorEastAsia"/>
                <w:sz w:val="18"/>
                <w:szCs w:val="18"/>
              </w:rPr>
            </w:pPr>
            <w:r>
              <w:rPr>
                <w:rFonts w:hint="eastAsia" w:asciiTheme="minorEastAsia" w:hAnsiTheme="minorEastAsia"/>
                <w:sz w:val="18"/>
                <w:szCs w:val="18"/>
              </w:rPr>
              <w:t>其中理论16，实践16</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通过课程的学习，使学生能够掌握计算机基础知识、计算机基本使用方法、文字信息处理方法、数据信息处理技术以及实用计算机工具软件基本使用方法。</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1.课程的教学内容包括计算机的基础知识、基本概念和基本操作技能，实用软件的使用和计算机应用领域的前沿知识，为学生熟练使用计算机和进一步学习计算机有关知识打下基础。</w:t>
            </w:r>
          </w:p>
          <w:p>
            <w:pPr>
              <w:rPr>
                <w:rFonts w:asciiTheme="minorEastAsia" w:hAnsiTheme="minorEastAsia"/>
                <w:sz w:val="18"/>
                <w:szCs w:val="18"/>
              </w:rPr>
            </w:pPr>
            <w:r>
              <w:rPr>
                <w:rFonts w:hint="eastAsia" w:asciiTheme="minorEastAsia" w:hAnsiTheme="minorEastAsia"/>
                <w:sz w:val="18"/>
                <w:szCs w:val="18"/>
              </w:rPr>
              <w:t>2.课程教学以线上线下相结合的方式进行，鼓励学生自行实操练习，在做中学，在学中做。</w:t>
            </w:r>
          </w:p>
          <w:p>
            <w:pPr>
              <w:rPr>
                <w:rFonts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1858" w:type="dxa"/>
            <w:vAlign w:val="center"/>
          </w:tcPr>
          <w:p>
            <w:pPr>
              <w:rPr>
                <w:rFonts w:asciiTheme="minorEastAsia" w:hAnsiTheme="minorEastAsia"/>
                <w:sz w:val="18"/>
                <w:szCs w:val="18"/>
              </w:rPr>
            </w:pPr>
            <w:r>
              <w:rPr>
                <w:rFonts w:hint="eastAsia" w:asciiTheme="minorEastAsia" w:hAnsiTheme="minorEastAsia"/>
                <w:sz w:val="18"/>
                <w:szCs w:val="18"/>
              </w:rPr>
              <w:t>大学英语</w:t>
            </w:r>
          </w:p>
        </w:tc>
        <w:tc>
          <w:tcPr>
            <w:tcW w:w="592" w:type="dxa"/>
            <w:vAlign w:val="center"/>
          </w:tcPr>
          <w:p>
            <w:pPr>
              <w:rPr>
                <w:rFonts w:asciiTheme="minorEastAsia" w:hAnsiTheme="minorEastAsia"/>
                <w:sz w:val="18"/>
                <w:szCs w:val="18"/>
              </w:rPr>
            </w:pPr>
            <w:r>
              <w:rPr>
                <w:rFonts w:hint="eastAsia" w:asciiTheme="minorEastAsia" w:hAnsiTheme="minorEastAsia"/>
                <w:sz w:val="18"/>
                <w:szCs w:val="18"/>
              </w:rPr>
              <w:t>3.0</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60</w:t>
            </w:r>
          </w:p>
          <w:p>
            <w:pPr>
              <w:jc w:val="center"/>
              <w:rPr>
                <w:rFonts w:asciiTheme="minorEastAsia" w:hAnsiTheme="minorEastAsia"/>
                <w:sz w:val="18"/>
                <w:szCs w:val="18"/>
              </w:rPr>
            </w:pPr>
            <w:r>
              <w:rPr>
                <w:rFonts w:hint="eastAsia" w:asciiTheme="minorEastAsia" w:hAnsiTheme="minorEastAsia"/>
                <w:sz w:val="18"/>
                <w:szCs w:val="18"/>
              </w:rPr>
              <w:t>其中理论40，实践20</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通过课程的学习，使学生掌握英语基础知识及常用语法知识，具备一定的词汇量；同时，增强学生自主学习的能力，培养学生的跨文化交际意识和良好的语言综合应用能力。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1.课程的主要教学内容是从听、说、读、写、译五个方面来展开各能力训练项目。</w:t>
            </w:r>
          </w:p>
          <w:p>
            <w:pPr>
              <w:rPr>
                <w:rFonts w:asciiTheme="minorEastAsia" w:hAnsiTheme="minorEastAsia"/>
                <w:sz w:val="18"/>
                <w:szCs w:val="18"/>
              </w:rPr>
            </w:pPr>
            <w:r>
              <w:rPr>
                <w:rFonts w:hint="eastAsia" w:asciiTheme="minorEastAsia" w:hAnsiTheme="minorEastAsia"/>
                <w:sz w:val="18"/>
                <w:szCs w:val="18"/>
              </w:rPr>
              <w:t>2.课程教学以教师课堂讲授为主，实践教学、自主学习为辅。</w:t>
            </w:r>
          </w:p>
          <w:p>
            <w:pPr>
              <w:rPr>
                <w:rFonts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1858" w:type="dxa"/>
            <w:vAlign w:val="center"/>
          </w:tcPr>
          <w:p>
            <w:pPr>
              <w:rPr>
                <w:rFonts w:asciiTheme="minorEastAsia" w:hAnsiTheme="minorEastAsia"/>
                <w:sz w:val="18"/>
                <w:szCs w:val="18"/>
              </w:rPr>
            </w:pPr>
            <w:r>
              <w:rPr>
                <w:rFonts w:hint="eastAsia" w:asciiTheme="minorEastAsia" w:hAnsiTheme="minorEastAsia"/>
                <w:sz w:val="18"/>
                <w:szCs w:val="18"/>
              </w:rPr>
              <w:t>公共艺术</w:t>
            </w:r>
          </w:p>
        </w:tc>
        <w:tc>
          <w:tcPr>
            <w:tcW w:w="592" w:type="dxa"/>
            <w:vAlign w:val="center"/>
          </w:tcPr>
          <w:p>
            <w:pPr>
              <w:rPr>
                <w:rFonts w:asciiTheme="minorEastAsia" w:hAnsiTheme="minorEastAsia"/>
                <w:sz w:val="18"/>
                <w:szCs w:val="18"/>
              </w:rPr>
            </w:pPr>
            <w:r>
              <w:rPr>
                <w:rFonts w:hint="eastAsia" w:asciiTheme="minorEastAsia" w:hAnsiTheme="minorEastAsia"/>
                <w:sz w:val="18"/>
                <w:szCs w:val="18"/>
              </w:rPr>
              <w:t>1.0</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18</w:t>
            </w:r>
          </w:p>
          <w:p>
            <w:pPr>
              <w:jc w:val="center"/>
              <w:rPr>
                <w:rFonts w:asciiTheme="minorEastAsia" w:hAnsiTheme="minorEastAsia"/>
                <w:sz w:val="18"/>
                <w:szCs w:val="18"/>
              </w:rPr>
            </w:pPr>
            <w:r>
              <w:rPr>
                <w:rFonts w:hint="eastAsia" w:asciiTheme="minorEastAsia" w:hAnsiTheme="minorEastAsia"/>
                <w:sz w:val="18"/>
                <w:szCs w:val="18"/>
              </w:rPr>
              <w:t>其中理论4，实践14</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通过课程的学习，使学生了解不同艺术类型的表现形式、审美特征和相互之间的联系与区别，掌握欣赏艺术作品和创作艺术作品的基本方法，提高艺术鉴赏能力。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1.课程的教学内容主要是讲授公共艺术的理论与方法，培养学生对公共艺术有整体的了解和鉴赏能力，提高学生审美素养。</w:t>
            </w:r>
          </w:p>
          <w:p>
            <w:pPr>
              <w:rPr>
                <w:rFonts w:asciiTheme="minorEastAsia" w:hAnsiTheme="minorEastAsia"/>
                <w:sz w:val="18"/>
                <w:szCs w:val="18"/>
              </w:rPr>
            </w:pPr>
            <w:r>
              <w:rPr>
                <w:rFonts w:hint="eastAsia" w:asciiTheme="minorEastAsia" w:hAnsiTheme="minorEastAsia"/>
                <w:sz w:val="18"/>
                <w:szCs w:val="18"/>
              </w:rPr>
              <w:t>2.课程教学以实践教学为主，鼓励学生积极参加艺术教育活动。</w:t>
            </w:r>
          </w:p>
          <w:p>
            <w:pPr>
              <w:rPr>
                <w:rFonts w:asciiTheme="minorEastAsia" w:hAnsiTheme="minorEastAsia"/>
                <w:sz w:val="18"/>
                <w:szCs w:val="18"/>
              </w:rPr>
            </w:pPr>
            <w:r>
              <w:rPr>
                <w:rFonts w:hint="eastAsia" w:asciiTheme="minorEastAsia" w:hAnsiTheme="minorEastAsia"/>
                <w:sz w:val="18"/>
                <w:szCs w:val="18"/>
              </w:rPr>
              <w:t>3.课程考核方式为考查。</w:t>
            </w:r>
          </w:p>
        </w:tc>
        <w:tc>
          <w:tcPr>
            <w:tcW w:w="580" w:type="dxa"/>
            <w:vAlign w:val="center"/>
          </w:tcPr>
          <w:p>
            <w:pP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4</w:t>
            </w:r>
          </w:p>
        </w:tc>
        <w:tc>
          <w:tcPr>
            <w:tcW w:w="1858" w:type="dxa"/>
            <w:vAlign w:val="center"/>
          </w:tcPr>
          <w:p>
            <w:pPr>
              <w:ind w:firstLine="180" w:firstLineChars="100"/>
              <w:rPr>
                <w:rFonts w:asciiTheme="minorEastAsia" w:hAnsiTheme="minorEastAsia"/>
                <w:sz w:val="18"/>
                <w:szCs w:val="18"/>
              </w:rPr>
            </w:pPr>
            <w:r>
              <w:rPr>
                <w:rFonts w:hint="eastAsia" w:asciiTheme="minorEastAsia" w:hAnsiTheme="minorEastAsia"/>
                <w:sz w:val="18"/>
                <w:szCs w:val="18"/>
              </w:rPr>
              <w:t>数学</w:t>
            </w:r>
          </w:p>
        </w:tc>
        <w:tc>
          <w:tcPr>
            <w:tcW w:w="592" w:type="dxa"/>
            <w:vAlign w:val="center"/>
          </w:tcPr>
          <w:p>
            <w:pPr>
              <w:rPr>
                <w:rFonts w:hint="eastAsia" w:asciiTheme="minorEastAsia" w:hAnsiTheme="minorEastAsia" w:eastAsiaTheme="minorEastAsia"/>
                <w:sz w:val="18"/>
                <w:szCs w:val="18"/>
                <w:lang w:eastAsia="zh-CN"/>
              </w:rPr>
            </w:pPr>
            <w:r>
              <w:rPr>
                <w:rFonts w:hint="eastAsia" w:asciiTheme="minorEastAsia" w:hAnsiTheme="minorEastAsia"/>
                <w:sz w:val="18"/>
                <w:szCs w:val="18"/>
              </w:rPr>
              <w:t>3</w:t>
            </w:r>
            <w:r>
              <w:rPr>
                <w:rFonts w:asciiTheme="minorEastAsia" w:hAnsiTheme="minorEastAsia"/>
                <w:sz w:val="18"/>
                <w:szCs w:val="18"/>
              </w:rPr>
              <w:t>.</w:t>
            </w:r>
            <w:r>
              <w:rPr>
                <w:rFonts w:hint="eastAsia" w:asciiTheme="minorEastAsia" w:hAnsiTheme="minorEastAsia"/>
                <w:sz w:val="18"/>
                <w:szCs w:val="18"/>
                <w:lang w:val="en-US" w:eastAsia="zh-CN"/>
              </w:rPr>
              <w:t>0</w:t>
            </w:r>
          </w:p>
        </w:tc>
        <w:tc>
          <w:tcPr>
            <w:tcW w:w="1176" w:type="dxa"/>
            <w:vAlign w:val="center"/>
          </w:tcPr>
          <w:p>
            <w:pPr>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rPr>
              <w:t>6</w:t>
            </w:r>
            <w:r>
              <w:rPr>
                <w:rFonts w:asciiTheme="minorEastAsia" w:hAnsiTheme="minorEastAsia"/>
                <w:sz w:val="18"/>
                <w:szCs w:val="18"/>
              </w:rPr>
              <w:t>0</w:t>
            </w:r>
            <w:r>
              <w:rPr>
                <w:rFonts w:hint="eastAsia" w:asciiTheme="minorEastAsia" w:hAnsiTheme="minorEastAsia"/>
                <w:sz w:val="18"/>
                <w:szCs w:val="18"/>
              </w:rPr>
              <w:t>其中理论</w:t>
            </w:r>
            <w:r>
              <w:rPr>
                <w:rFonts w:hint="eastAsia" w:asciiTheme="minorEastAsia" w:hAnsiTheme="minorEastAsia"/>
                <w:sz w:val="18"/>
                <w:szCs w:val="18"/>
                <w:lang w:val="en-US" w:eastAsia="zh-CN"/>
              </w:rPr>
              <w:t>60</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通过课程的学习，使学生能够掌握数学基础知识、求极限、积分、微分以及相关应用。</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1.课程的教学内容包括数学基础知识、求极限、积分、微分以及相关应用。</w:t>
            </w:r>
          </w:p>
          <w:p>
            <w:pPr>
              <w:rPr>
                <w:rFonts w:asciiTheme="minorEastAsia" w:hAnsiTheme="minorEastAsia"/>
                <w:sz w:val="18"/>
                <w:szCs w:val="18"/>
              </w:rPr>
            </w:pPr>
            <w:r>
              <w:rPr>
                <w:rFonts w:hint="eastAsia" w:asciiTheme="minorEastAsia" w:hAnsiTheme="minorEastAsia"/>
                <w:sz w:val="18"/>
                <w:szCs w:val="18"/>
              </w:rPr>
              <w:t>2.课程教学以线上线下相结合的方式进行，鼓励学生自行学习练习，在做中学，在学中做。</w:t>
            </w:r>
          </w:p>
          <w:p>
            <w:pPr>
              <w:rPr>
                <w:rFonts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rPr>
                <w:rFonts w:asciiTheme="minorEastAsia" w:hAnsiTheme="minorEastAsia"/>
                <w:sz w:val="18"/>
                <w:szCs w:val="18"/>
              </w:rPr>
            </w:pPr>
          </w:p>
        </w:tc>
      </w:tr>
    </w:tbl>
    <w:p>
      <w:pPr>
        <w:pStyle w:val="4"/>
      </w:pPr>
      <w:bookmarkStart w:id="16" w:name="_Toc89793276"/>
      <w:r>
        <w:rPr>
          <w:rFonts w:hint="eastAsia"/>
        </w:rPr>
        <w:t>（二）专业（技能）课程</w:t>
      </w:r>
      <w:bookmarkEnd w:id="16"/>
    </w:p>
    <w:p>
      <w:pPr>
        <w:ind w:firstLine="420" w:firstLineChars="200"/>
      </w:pPr>
      <w:r>
        <w:rPr>
          <w:rFonts w:hint="eastAsia"/>
        </w:rPr>
        <w:t>专业（技能）课程分为专业基础平台课、专业技术方向课、专业拓展课。</w:t>
      </w:r>
    </w:p>
    <w:p>
      <w:pPr>
        <w:pStyle w:val="2"/>
        <w:spacing w:before="234" w:after="234"/>
        <w:ind w:left="420"/>
      </w:pPr>
      <w:bookmarkStart w:id="17" w:name="_Toc89793277"/>
      <w:r>
        <w:rPr>
          <w:rFonts w:hint="eastAsia"/>
        </w:rPr>
        <w:t>1.专业群基础平台课</w:t>
      </w:r>
      <w:bookmarkEnd w:id="17"/>
    </w:p>
    <w:p>
      <w:pPr>
        <w:ind w:firstLine="420" w:firstLineChars="200"/>
      </w:pPr>
      <w:r>
        <w:rPr>
          <w:rFonts w:hint="eastAsia"/>
        </w:rPr>
        <w:t>本专业开设的专业群基础平台课见表5。</w:t>
      </w:r>
    </w:p>
    <w:p>
      <w:pPr>
        <w:jc w:val="center"/>
      </w:pPr>
      <w:r>
        <w:rPr>
          <w:rFonts w:hint="eastAsia"/>
        </w:rPr>
        <w:t>表5</w:t>
      </w:r>
      <w:r>
        <w:t xml:space="preserve"> </w:t>
      </w:r>
      <w:r>
        <w:rPr>
          <w:rFonts w:hint="eastAsia"/>
        </w:rPr>
        <w:t>专业群基础平台课</w:t>
      </w:r>
    </w:p>
    <w:tbl>
      <w:tblPr>
        <w:tblStyle w:val="15"/>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858"/>
        <w:gridCol w:w="592"/>
        <w:gridCol w:w="1176"/>
        <w:gridCol w:w="2113"/>
        <w:gridCol w:w="2002"/>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序号</w:t>
            </w:r>
          </w:p>
        </w:tc>
        <w:tc>
          <w:tcPr>
            <w:tcW w:w="1858" w:type="dxa"/>
            <w:vAlign w:val="center"/>
          </w:tcPr>
          <w:p>
            <w:pPr>
              <w:jc w:val="center"/>
              <w:rPr>
                <w:rFonts w:asciiTheme="minorEastAsia" w:hAnsiTheme="minorEastAsia"/>
                <w:sz w:val="18"/>
                <w:szCs w:val="18"/>
              </w:rPr>
            </w:pPr>
            <w:r>
              <w:rPr>
                <w:rFonts w:hint="eastAsia" w:asciiTheme="minorEastAsia" w:hAnsiTheme="minorEastAsia"/>
                <w:sz w:val="18"/>
                <w:szCs w:val="18"/>
              </w:rPr>
              <w:t>课程名称</w:t>
            </w:r>
          </w:p>
        </w:tc>
        <w:tc>
          <w:tcPr>
            <w:tcW w:w="592" w:type="dxa"/>
            <w:vAlign w:val="center"/>
          </w:tcPr>
          <w:p>
            <w:pPr>
              <w:jc w:val="center"/>
              <w:rPr>
                <w:rFonts w:asciiTheme="minorEastAsia" w:hAnsiTheme="minorEastAsia"/>
                <w:sz w:val="18"/>
                <w:szCs w:val="18"/>
              </w:rPr>
            </w:pPr>
            <w:r>
              <w:rPr>
                <w:rFonts w:hint="eastAsia" w:asciiTheme="minorEastAsia" w:hAnsiTheme="minorEastAsia"/>
                <w:sz w:val="18"/>
                <w:szCs w:val="18"/>
              </w:rPr>
              <w:t>学分</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学时</w:t>
            </w:r>
          </w:p>
        </w:tc>
        <w:tc>
          <w:tcPr>
            <w:tcW w:w="2113" w:type="dxa"/>
            <w:vAlign w:val="center"/>
          </w:tcPr>
          <w:p>
            <w:pPr>
              <w:jc w:val="center"/>
              <w:rPr>
                <w:rFonts w:asciiTheme="minorEastAsia" w:hAnsiTheme="minorEastAsia"/>
                <w:sz w:val="18"/>
                <w:szCs w:val="18"/>
              </w:rPr>
            </w:pPr>
            <w:r>
              <w:rPr>
                <w:rFonts w:hint="eastAsia" w:asciiTheme="minorEastAsia" w:hAnsiTheme="minorEastAsia"/>
                <w:sz w:val="18"/>
                <w:szCs w:val="18"/>
              </w:rPr>
              <w:t>课程目标</w:t>
            </w:r>
          </w:p>
        </w:tc>
        <w:tc>
          <w:tcPr>
            <w:tcW w:w="2002" w:type="dxa"/>
            <w:vAlign w:val="center"/>
          </w:tcPr>
          <w:p>
            <w:pPr>
              <w:jc w:val="center"/>
              <w:rPr>
                <w:rFonts w:asciiTheme="minorEastAsia" w:hAnsiTheme="minorEastAsia"/>
                <w:sz w:val="18"/>
                <w:szCs w:val="18"/>
              </w:rPr>
            </w:pPr>
            <w:r>
              <w:rPr>
                <w:rFonts w:hint="eastAsia" w:asciiTheme="minorEastAsia" w:hAnsiTheme="minorEastAsia"/>
                <w:sz w:val="18"/>
                <w:szCs w:val="18"/>
              </w:rPr>
              <w:t>主要内容和教学要求</w:t>
            </w:r>
          </w:p>
        </w:tc>
        <w:tc>
          <w:tcPr>
            <w:tcW w:w="580" w:type="dxa"/>
            <w:vAlign w:val="center"/>
          </w:tcPr>
          <w:p>
            <w:pPr>
              <w:jc w:val="center"/>
              <w:rPr>
                <w:rFonts w:asciiTheme="minorEastAsia" w:hAnsiTheme="minorEastAsia"/>
                <w:sz w:val="18"/>
                <w:szCs w:val="18"/>
              </w:rPr>
            </w:pPr>
            <w:r>
              <w:rPr>
                <w:rFonts w:hint="eastAsia" w:asciiTheme="minorEastAsia" w:hAnsi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185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机械制图</w:t>
            </w:r>
          </w:p>
        </w:tc>
        <w:tc>
          <w:tcPr>
            <w:tcW w:w="592"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4.0</w:t>
            </w:r>
          </w:p>
        </w:tc>
        <w:tc>
          <w:tcPr>
            <w:tcW w:w="117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sz w:val="18"/>
                <w:szCs w:val="18"/>
              </w:rPr>
            </w:pPr>
            <w:r>
              <w:rPr>
                <w:rFonts w:hint="eastAsia"/>
                <w:sz w:val="18"/>
                <w:szCs w:val="18"/>
              </w:rPr>
              <w:t>72</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w:t>
            </w:r>
            <w:r>
              <w:rPr>
                <w:rFonts w:asciiTheme="minorEastAsia" w:hAnsiTheme="minorEastAsia"/>
                <w:sz w:val="18"/>
                <w:szCs w:val="18"/>
              </w:rPr>
              <w:t>从正投影的基本理论入手，培养学生具有一定的图形表达能力、识图能力、空间想象和思维能力及绘图实际技能</w:t>
            </w:r>
            <w:r>
              <w:rPr>
                <w:rFonts w:hint="eastAsia" w:asciiTheme="minorEastAsia" w:hAnsiTheme="minorEastAsia"/>
                <w:sz w:val="18"/>
                <w:szCs w:val="18"/>
              </w:rPr>
              <w:t>，掌握</w:t>
            </w:r>
            <w:r>
              <w:rPr>
                <w:rFonts w:asciiTheme="minorEastAsia" w:hAnsiTheme="minorEastAsia"/>
                <w:sz w:val="18"/>
                <w:szCs w:val="18"/>
              </w:rPr>
              <w:t>正投影法的基础理论及其应用，熟悉并正确执行制图国家标准及其有关规定</w:t>
            </w:r>
            <w:r>
              <w:rPr>
                <w:rFonts w:hint="eastAsia" w:asciiTheme="minorEastAsia" w:hAnsiTheme="minorEastAsia"/>
                <w:sz w:val="18"/>
                <w:szCs w:val="18"/>
              </w:rPr>
              <w:t>，</w:t>
            </w:r>
            <w:r>
              <w:rPr>
                <w:rFonts w:asciiTheme="minorEastAsia" w:hAnsiTheme="minorEastAsia"/>
                <w:sz w:val="18"/>
                <w:szCs w:val="18"/>
              </w:rPr>
              <w:t>能够阅读比较复杂的机械图样</w:t>
            </w:r>
            <w:r>
              <w:rPr>
                <w:rFonts w:hint="eastAsia" w:asciiTheme="minorEastAsia" w:hAnsiTheme="minorEastAsia"/>
                <w:sz w:val="18"/>
                <w:szCs w:val="18"/>
              </w:rPr>
              <w:t>。</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1.课程的主要从</w:t>
            </w:r>
            <w:r>
              <w:rPr>
                <w:rFonts w:asciiTheme="minorEastAsia" w:hAnsiTheme="minorEastAsia"/>
                <w:sz w:val="18"/>
                <w:szCs w:val="18"/>
              </w:rPr>
              <w:t>画图能力和看图能力</w:t>
            </w:r>
            <w:r>
              <w:rPr>
                <w:rFonts w:hint="eastAsia" w:asciiTheme="minorEastAsia" w:hAnsiTheme="minorEastAsia"/>
                <w:sz w:val="18"/>
                <w:szCs w:val="18"/>
              </w:rPr>
              <w:t>训练项目，</w:t>
            </w:r>
            <w:r>
              <w:rPr>
                <w:rFonts w:asciiTheme="minorEastAsia" w:hAnsiTheme="minorEastAsia"/>
                <w:sz w:val="18"/>
                <w:szCs w:val="18"/>
              </w:rPr>
              <w:t>采用“教、学、做”一体化的教学模式</w:t>
            </w:r>
            <w:r>
              <w:rPr>
                <w:rFonts w:hint="eastAsia" w:asciiTheme="minorEastAsia" w:hAnsiTheme="minorEastAsia"/>
                <w:sz w:val="18"/>
                <w:szCs w:val="18"/>
              </w:rPr>
              <w:t>。</w:t>
            </w:r>
          </w:p>
          <w:p>
            <w:pPr>
              <w:rPr>
                <w:rFonts w:asciiTheme="minorEastAsia" w:hAnsiTheme="minorEastAsia"/>
                <w:sz w:val="18"/>
                <w:szCs w:val="18"/>
              </w:rPr>
            </w:pPr>
            <w:r>
              <w:rPr>
                <w:rFonts w:hint="eastAsia" w:asciiTheme="minorEastAsia" w:hAnsiTheme="minorEastAsia"/>
                <w:sz w:val="18"/>
                <w:szCs w:val="18"/>
              </w:rPr>
              <w:t>2.课程教学以教师课堂讲授为主，实践教学、自主学习为辅。</w:t>
            </w:r>
          </w:p>
          <w:p>
            <w:pPr>
              <w:rPr>
                <w:rFonts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asciiTheme="minorEastAsia" w:hAnsiTheme="minorEastAsia"/>
                <w:sz w:val="18"/>
                <w:szCs w:val="18"/>
              </w:rPr>
              <w:t>36</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实践3</w:t>
            </w:r>
            <w:r>
              <w:rPr>
                <w:rFonts w:asciiTheme="minorEastAsia" w:hAnsiTheme="minorEastAsia"/>
                <w:sz w:val="18"/>
                <w:szCs w:val="18"/>
              </w:rPr>
              <w:t>6</w:t>
            </w:r>
            <w:r>
              <w:rPr>
                <w:rFonts w:hint="eastAsia" w:asciiTheme="minorEastAsia" w:hAnsi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1858"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电工基础</w:t>
            </w:r>
          </w:p>
        </w:tc>
        <w:tc>
          <w:tcPr>
            <w:tcW w:w="592"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3.0</w:t>
            </w:r>
          </w:p>
        </w:tc>
        <w:tc>
          <w:tcPr>
            <w:tcW w:w="1176" w:type="dxa"/>
            <w:tcBorders>
              <w:top w:val="nil"/>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sz w:val="18"/>
                <w:szCs w:val="18"/>
              </w:rPr>
            </w:pPr>
            <w:r>
              <w:rPr>
                <w:rFonts w:hint="eastAsia"/>
                <w:sz w:val="18"/>
                <w:szCs w:val="18"/>
              </w:rPr>
              <w:t>56</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通过课程的学习使学生获得电工技术的基本理论、基本知识和基本技能，掌握典型电路的基本分析方法和技巧，从而提高实践技能，增强分析和解决实际问题的能力。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1.课程的教学内容电阻、电容、电感电路</w:t>
            </w:r>
            <w:r>
              <w:rPr>
                <w:rFonts w:asciiTheme="minorEastAsia" w:hAnsiTheme="minorEastAsia"/>
                <w:sz w:val="18"/>
                <w:szCs w:val="18"/>
              </w:rPr>
              <w:t>系统原理，系统结构，分析方法</w:t>
            </w:r>
            <w:r>
              <w:rPr>
                <w:rFonts w:hint="eastAsia" w:asciiTheme="minorEastAsia" w:hAnsiTheme="minorEastAsia"/>
                <w:sz w:val="18"/>
                <w:szCs w:val="18"/>
              </w:rPr>
              <w:t>。</w:t>
            </w:r>
          </w:p>
          <w:p>
            <w:pPr>
              <w:rPr>
                <w:rFonts w:asciiTheme="minorEastAsia" w:hAnsiTheme="minorEastAsia"/>
                <w:sz w:val="18"/>
                <w:szCs w:val="18"/>
              </w:rPr>
            </w:pPr>
            <w:r>
              <w:rPr>
                <w:rFonts w:hint="eastAsia" w:asciiTheme="minorEastAsia" w:hAnsiTheme="minorEastAsia"/>
                <w:sz w:val="18"/>
                <w:szCs w:val="18"/>
              </w:rPr>
              <w:t>2.课程教学以线上线下相结合的方式进行，理论额实操相结合，鼓励学生自行学习练习，在做中学，在学中做。</w:t>
            </w:r>
          </w:p>
          <w:p>
            <w:pPr>
              <w:rPr>
                <w:rFonts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asciiTheme="minorEastAsia" w:hAnsiTheme="minorEastAsia"/>
                <w:sz w:val="18"/>
                <w:szCs w:val="18"/>
              </w:rPr>
              <w:t>36</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w:t>
            </w:r>
            <w:r>
              <w:rPr>
                <w:rFonts w:asciiTheme="minorEastAsia" w:hAnsiTheme="minorEastAsia"/>
                <w:sz w:val="18"/>
                <w:szCs w:val="18"/>
              </w:rPr>
              <w:t>20</w:t>
            </w:r>
            <w:r>
              <w:rPr>
                <w:rFonts w:hint="eastAsia" w:asciiTheme="minorEastAsia" w:hAnsi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1858" w:type="dxa"/>
            <w:tcBorders>
              <w:top w:val="nil"/>
              <w:left w:val="single" w:color="000000" w:sz="4" w:space="0"/>
              <w:bottom w:val="single" w:color="000000" w:sz="4" w:space="0"/>
              <w:right w:val="single" w:color="000000" w:sz="4" w:space="0"/>
            </w:tcBorders>
            <w:shd w:val="clear" w:color="000000" w:fill="FFFFFF"/>
            <w:vAlign w:val="center"/>
          </w:tcPr>
          <w:p>
            <w:pPr>
              <w:rPr>
                <w:rFonts w:asciiTheme="minorEastAsia" w:hAnsiTheme="minorEastAsia"/>
                <w:sz w:val="18"/>
                <w:szCs w:val="18"/>
              </w:rPr>
            </w:pPr>
            <w:r>
              <w:rPr>
                <w:rFonts w:hint="eastAsia"/>
                <w:sz w:val="18"/>
                <w:szCs w:val="18"/>
              </w:rPr>
              <w:t>C语言程序设计</w:t>
            </w:r>
          </w:p>
        </w:tc>
        <w:tc>
          <w:tcPr>
            <w:tcW w:w="592" w:type="dxa"/>
            <w:tcBorders>
              <w:top w:val="nil"/>
              <w:left w:val="single" w:color="000000" w:sz="4" w:space="0"/>
              <w:bottom w:val="single" w:color="000000" w:sz="4" w:space="0"/>
              <w:right w:val="single" w:color="000000" w:sz="4" w:space="0"/>
            </w:tcBorders>
            <w:shd w:val="clear" w:color="000000" w:fill="FFFFFF"/>
            <w:vAlign w:val="center"/>
          </w:tcPr>
          <w:p>
            <w:pPr>
              <w:rPr>
                <w:rFonts w:hint="eastAsia" w:asciiTheme="minorEastAsia" w:hAnsiTheme="minorEastAsia" w:eastAsiaTheme="minorEastAsia"/>
                <w:sz w:val="18"/>
                <w:szCs w:val="18"/>
                <w:lang w:eastAsia="zh-CN"/>
              </w:rPr>
            </w:pPr>
            <w:r>
              <w:rPr>
                <w:sz w:val="18"/>
                <w:szCs w:val="18"/>
              </w:rPr>
              <w:t>3.</w:t>
            </w:r>
            <w:r>
              <w:rPr>
                <w:rFonts w:hint="eastAsia"/>
                <w:sz w:val="18"/>
                <w:szCs w:val="18"/>
                <w:lang w:val="en-US" w:eastAsia="zh-CN"/>
              </w:rPr>
              <w:t>0</w:t>
            </w:r>
          </w:p>
        </w:tc>
        <w:tc>
          <w:tcPr>
            <w:tcW w:w="1176"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Theme="minorEastAsia" w:hAnsiTheme="minorEastAsia"/>
                <w:sz w:val="18"/>
                <w:szCs w:val="18"/>
              </w:rPr>
            </w:pPr>
            <w:r>
              <w:rPr>
                <w:rFonts w:hint="eastAsia"/>
                <w:sz w:val="18"/>
                <w:szCs w:val="18"/>
                <w:lang w:val="en-US" w:eastAsia="zh-CN"/>
              </w:rPr>
              <w:t>5</w:t>
            </w:r>
            <w:r>
              <w:rPr>
                <w:sz w:val="18"/>
                <w:szCs w:val="18"/>
              </w:rPr>
              <w:t>6</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通过课程的学习使学生掌握赋值语句、选择语句、循环语句等基本编程方法，通过上机编程能够用函数实现模块化程序设计，提高实践技能，增强分析和解决实际问题的能力。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1.课程的教学内容赋值语句、选择语句、循环语句、数组。</w:t>
            </w:r>
          </w:p>
          <w:p>
            <w:pPr>
              <w:rPr>
                <w:rFonts w:asciiTheme="minorEastAsia" w:hAnsiTheme="minorEastAsia"/>
                <w:sz w:val="18"/>
                <w:szCs w:val="18"/>
              </w:rPr>
            </w:pPr>
            <w:r>
              <w:rPr>
                <w:rFonts w:hint="eastAsia" w:asciiTheme="minorEastAsia" w:hAnsiTheme="minorEastAsia"/>
                <w:sz w:val="18"/>
                <w:szCs w:val="18"/>
              </w:rPr>
              <w:t>2.课程教学以线上线下相结合的方式进行，理论和上机实操相结合，鼓励学生自行学习练习，在做中学，在学中做。</w:t>
            </w:r>
          </w:p>
          <w:p>
            <w:pPr>
              <w:rPr>
                <w:rFonts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asciiTheme="minorEastAsia" w:hAnsiTheme="minorEastAsia"/>
                <w:sz w:val="18"/>
                <w:szCs w:val="18"/>
              </w:rPr>
              <w:t>32</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实践3</w:t>
            </w:r>
            <w:r>
              <w:rPr>
                <w:rFonts w:asciiTheme="minorEastAsia" w:hAnsiTheme="minorEastAsia"/>
                <w:sz w:val="18"/>
                <w:szCs w:val="18"/>
              </w:rPr>
              <w:t>4</w:t>
            </w:r>
            <w:r>
              <w:rPr>
                <w:rFonts w:hint="eastAsia" w:asciiTheme="minorEastAsia" w:hAnsi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576" w:type="dxa"/>
            <w:vAlign w:val="center"/>
          </w:tcPr>
          <w:p>
            <w:pPr>
              <w:jc w:val="center"/>
              <w:rPr>
                <w:rFonts w:asciiTheme="minorEastAsia" w:hAnsiTheme="minorEastAsia"/>
                <w:sz w:val="18"/>
                <w:szCs w:val="18"/>
              </w:rPr>
            </w:pPr>
            <w:r>
              <w:rPr>
                <w:rFonts w:asciiTheme="minorEastAsia" w:hAnsiTheme="minorEastAsia"/>
                <w:sz w:val="18"/>
                <w:szCs w:val="18"/>
              </w:rPr>
              <w:t>4</w:t>
            </w:r>
          </w:p>
        </w:tc>
        <w:tc>
          <w:tcPr>
            <w:tcW w:w="1858"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电机与电气控制技术</w:t>
            </w:r>
          </w:p>
        </w:tc>
        <w:tc>
          <w:tcPr>
            <w:tcW w:w="592"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4.5</w:t>
            </w:r>
          </w:p>
        </w:tc>
        <w:tc>
          <w:tcPr>
            <w:tcW w:w="1176" w:type="dxa"/>
            <w:tcBorders>
              <w:top w:val="nil"/>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sz w:val="18"/>
                <w:szCs w:val="18"/>
              </w:rPr>
            </w:pPr>
            <w:r>
              <w:rPr>
                <w:rFonts w:hint="eastAsia"/>
                <w:sz w:val="18"/>
                <w:szCs w:val="18"/>
              </w:rPr>
              <w:t>80</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使学生将电机与电气控制技术融合为一体，以交、直流电机为驱动装置，以低压电器为控制、保护元件，组成生产机械的电力拖动和电气控制系统，提高实践技能，增强分析和解决实际问题的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1.课程的教学内容掌握常用低压电器、电气控制线路的基本环节、典型机床的电气控制线路的组成和工作原理，以及电气控制线路的接线和控制线路中的故障检查。</w:t>
            </w:r>
          </w:p>
          <w:p>
            <w:pPr>
              <w:rPr>
                <w:rFonts w:asciiTheme="minorEastAsia" w:hAnsiTheme="minorEastAsia"/>
                <w:sz w:val="18"/>
                <w:szCs w:val="18"/>
              </w:rPr>
            </w:pPr>
            <w:r>
              <w:rPr>
                <w:rFonts w:hint="eastAsia" w:asciiTheme="minorEastAsia" w:hAnsiTheme="minorEastAsia"/>
                <w:sz w:val="18"/>
                <w:szCs w:val="18"/>
              </w:rPr>
              <w:t>2.课程教学以线上线下相结合的方式进行，理论和上机实操相结合，鼓励学生自行学习练习，在做中学，在学中做。</w:t>
            </w:r>
          </w:p>
          <w:p>
            <w:pPr>
              <w:rPr>
                <w:rFonts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asciiTheme="minorEastAsia" w:hAnsiTheme="minorEastAsia"/>
                <w:sz w:val="18"/>
                <w:szCs w:val="18"/>
              </w:rPr>
              <w:t>42</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w:t>
            </w:r>
            <w:r>
              <w:rPr>
                <w:rFonts w:asciiTheme="minorEastAsia" w:hAnsiTheme="minorEastAsia"/>
                <w:sz w:val="18"/>
                <w:szCs w:val="18"/>
              </w:rPr>
              <w:t>38</w:t>
            </w:r>
            <w:r>
              <w:rPr>
                <w:rFonts w:hint="eastAsia" w:asciiTheme="minorEastAsia" w:hAnsi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576" w:type="dxa"/>
            <w:vAlign w:val="center"/>
          </w:tcPr>
          <w:p>
            <w:pPr>
              <w:jc w:val="center"/>
              <w:rPr>
                <w:rFonts w:asciiTheme="minorEastAsia" w:hAnsiTheme="minorEastAsia"/>
                <w:sz w:val="18"/>
                <w:szCs w:val="18"/>
              </w:rPr>
            </w:pPr>
            <w:r>
              <w:rPr>
                <w:rFonts w:asciiTheme="minorEastAsia" w:hAnsiTheme="minorEastAsia"/>
                <w:sz w:val="18"/>
                <w:szCs w:val="18"/>
              </w:rPr>
              <w:t>5</w:t>
            </w:r>
          </w:p>
        </w:tc>
        <w:tc>
          <w:tcPr>
            <w:tcW w:w="1858"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液压传动与气动</w:t>
            </w:r>
          </w:p>
        </w:tc>
        <w:tc>
          <w:tcPr>
            <w:tcW w:w="592"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2.5</w:t>
            </w:r>
          </w:p>
        </w:tc>
        <w:tc>
          <w:tcPr>
            <w:tcW w:w="1176" w:type="dxa"/>
            <w:tcBorders>
              <w:top w:val="nil"/>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sz w:val="18"/>
                <w:szCs w:val="18"/>
              </w:rPr>
            </w:pPr>
            <w:r>
              <w:rPr>
                <w:rFonts w:hint="eastAsia"/>
                <w:sz w:val="18"/>
                <w:szCs w:val="18"/>
              </w:rPr>
              <w:t>44</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通过课程的学习使学生能够结合相关液压系统、气动系统的学习，最终让学生能够掌握分析相关液压系统、气动系统的结构及原理，让学生具有较强的实践动手能力、独立分析问题能力与解决问题的能力。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1.课程的教学内容液压系统、气动系统的组成及其各部分元件的结构与原理，让学生学会识别各类液压元件、气动元件，懂得分析各种液压与气压传动的常用回路结构、功能及用途。</w:t>
            </w:r>
          </w:p>
          <w:p>
            <w:pPr>
              <w:rPr>
                <w:rFonts w:asciiTheme="minorEastAsia" w:hAnsiTheme="minorEastAsia"/>
                <w:sz w:val="18"/>
                <w:szCs w:val="18"/>
              </w:rPr>
            </w:pPr>
            <w:r>
              <w:rPr>
                <w:rFonts w:hint="eastAsia" w:asciiTheme="minorEastAsia" w:hAnsiTheme="minorEastAsia"/>
                <w:sz w:val="18"/>
                <w:szCs w:val="18"/>
              </w:rPr>
              <w:t>2.课程教学以线上线下相结合的方式进行，理论和上机实操相结合，鼓励学生自行学习练习，在做中学，在学中做。</w:t>
            </w:r>
          </w:p>
          <w:p>
            <w:pPr>
              <w:rPr>
                <w:rFonts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asciiTheme="minorEastAsia" w:hAnsiTheme="minorEastAsia"/>
                <w:sz w:val="18"/>
                <w:szCs w:val="18"/>
              </w:rPr>
              <w:t>16</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w:t>
            </w:r>
            <w:r>
              <w:rPr>
                <w:rFonts w:asciiTheme="minorEastAsia" w:hAnsiTheme="minorEastAsia"/>
                <w:sz w:val="18"/>
                <w:szCs w:val="18"/>
              </w:rPr>
              <w:t>28</w:t>
            </w:r>
            <w:r>
              <w:rPr>
                <w:rFonts w:hint="eastAsia" w:asciiTheme="minorEastAsia" w:hAnsi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76" w:type="dxa"/>
            <w:vAlign w:val="center"/>
          </w:tcPr>
          <w:p>
            <w:pPr>
              <w:jc w:val="center"/>
              <w:rPr>
                <w:rFonts w:asciiTheme="minorEastAsia" w:hAnsiTheme="minorEastAsia"/>
                <w:sz w:val="18"/>
                <w:szCs w:val="18"/>
              </w:rPr>
            </w:pPr>
            <w:r>
              <w:rPr>
                <w:rFonts w:asciiTheme="minorEastAsia" w:hAnsiTheme="minorEastAsia"/>
                <w:sz w:val="18"/>
                <w:szCs w:val="18"/>
              </w:rPr>
              <w:t>6</w:t>
            </w:r>
          </w:p>
        </w:tc>
        <w:tc>
          <w:tcPr>
            <w:tcW w:w="1858"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电子技术</w:t>
            </w:r>
          </w:p>
        </w:tc>
        <w:tc>
          <w:tcPr>
            <w:tcW w:w="592"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4.5</w:t>
            </w:r>
          </w:p>
        </w:tc>
        <w:tc>
          <w:tcPr>
            <w:tcW w:w="1176"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Theme="minorEastAsia" w:hAnsiTheme="minorEastAsia" w:eastAsiaTheme="minorEastAsia"/>
                <w:sz w:val="18"/>
                <w:szCs w:val="18"/>
                <w:lang w:eastAsia="zh-CN"/>
              </w:rPr>
            </w:pPr>
            <w:r>
              <w:rPr>
                <w:rFonts w:hint="eastAsia"/>
                <w:sz w:val="18"/>
                <w:szCs w:val="18"/>
              </w:rPr>
              <w:t>8</w:t>
            </w:r>
            <w:r>
              <w:rPr>
                <w:rFonts w:hint="eastAsia"/>
                <w:sz w:val="18"/>
                <w:szCs w:val="18"/>
                <w:lang w:val="en-US" w:eastAsia="zh-CN"/>
              </w:rPr>
              <w:t>4</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通过课程的学习使学生分析和掌握数字电路和模拟电路，会分析和计算电路中各种参数，提高实践技能，增强分析和解决实际问题的能力。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1.课程的教学内容掌握常用低压电器、电气控制线路的基本环节、典型机床的电气控制线路的组成和工作原理，以及电气控制线路的接线和控制线路中的故障检查。</w:t>
            </w:r>
          </w:p>
          <w:p>
            <w:pPr>
              <w:rPr>
                <w:rFonts w:asciiTheme="minorEastAsia" w:hAnsiTheme="minorEastAsia"/>
                <w:sz w:val="18"/>
                <w:szCs w:val="18"/>
              </w:rPr>
            </w:pPr>
            <w:r>
              <w:rPr>
                <w:rFonts w:hint="eastAsia" w:asciiTheme="minorEastAsia" w:hAnsiTheme="minorEastAsia"/>
                <w:sz w:val="18"/>
                <w:szCs w:val="18"/>
              </w:rPr>
              <w:t>2.课程教学以线上线下相结合的方式进行，理论和上机实操相结合，鼓励学生自行学习练习，在做中学，在学中做。</w:t>
            </w:r>
          </w:p>
          <w:p>
            <w:pPr>
              <w:rPr>
                <w:rFonts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asciiTheme="minorEastAsia" w:hAnsiTheme="minorEastAsia"/>
                <w:sz w:val="18"/>
                <w:szCs w:val="18"/>
              </w:rPr>
              <w:t>5</w:t>
            </w:r>
            <w:r>
              <w:rPr>
                <w:rFonts w:hint="eastAsia" w:asciiTheme="minorEastAsia" w:hAnsiTheme="minorEastAsia"/>
                <w:sz w:val="18"/>
                <w:szCs w:val="18"/>
                <w:lang w:val="en-US" w:eastAsia="zh-CN"/>
              </w:rPr>
              <w:t>7</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w:t>
            </w:r>
            <w:r>
              <w:rPr>
                <w:rFonts w:asciiTheme="minorEastAsia" w:hAnsiTheme="minorEastAsia"/>
                <w:sz w:val="18"/>
                <w:szCs w:val="18"/>
              </w:rPr>
              <w:t>27</w:t>
            </w:r>
            <w:r>
              <w:rPr>
                <w:rFonts w:hint="eastAsia" w:asciiTheme="minorEastAsia" w:hAnsi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576" w:type="dxa"/>
            <w:vAlign w:val="center"/>
          </w:tcPr>
          <w:p>
            <w:pPr>
              <w:jc w:val="center"/>
              <w:rPr>
                <w:rFonts w:asciiTheme="minorEastAsia" w:hAnsiTheme="minorEastAsia"/>
                <w:sz w:val="18"/>
                <w:szCs w:val="18"/>
              </w:rPr>
            </w:pPr>
            <w:r>
              <w:rPr>
                <w:rFonts w:asciiTheme="minorEastAsia" w:hAnsiTheme="minorEastAsia"/>
                <w:sz w:val="18"/>
                <w:szCs w:val="18"/>
              </w:rPr>
              <w:t>7</w:t>
            </w:r>
          </w:p>
        </w:tc>
        <w:tc>
          <w:tcPr>
            <w:tcW w:w="1858"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可编程控制器与组态监控</w:t>
            </w:r>
          </w:p>
        </w:tc>
        <w:tc>
          <w:tcPr>
            <w:tcW w:w="592"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4.5</w:t>
            </w:r>
          </w:p>
        </w:tc>
        <w:tc>
          <w:tcPr>
            <w:tcW w:w="1176" w:type="dxa"/>
            <w:tcBorders>
              <w:top w:val="nil"/>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sz w:val="18"/>
                <w:szCs w:val="18"/>
              </w:rPr>
            </w:pPr>
            <w:r>
              <w:rPr>
                <w:rFonts w:hint="eastAsia"/>
                <w:sz w:val="18"/>
                <w:szCs w:val="18"/>
              </w:rPr>
              <w:t>80</w:t>
            </w:r>
          </w:p>
        </w:tc>
        <w:tc>
          <w:tcPr>
            <w:tcW w:w="2113" w:type="dxa"/>
            <w:tcBorders>
              <w:bottom w:val="single" w:color="auto" w:sz="4" w:space="0"/>
            </w:tcBorders>
            <w:vAlign w:val="center"/>
          </w:tcPr>
          <w:p>
            <w:pPr>
              <w:rPr>
                <w:rFonts w:asciiTheme="minorEastAsia" w:hAnsiTheme="minorEastAsia"/>
                <w:sz w:val="18"/>
                <w:szCs w:val="18"/>
              </w:rPr>
            </w:pPr>
            <w:r>
              <w:rPr>
                <w:rFonts w:hint="eastAsia" w:asciiTheme="minorEastAsia" w:hAnsiTheme="minorEastAsia"/>
                <w:sz w:val="18"/>
                <w:szCs w:val="18"/>
              </w:rPr>
              <w:t>通</w:t>
            </w:r>
            <w:r>
              <w:rPr>
                <w:rFonts w:hint="eastAsia"/>
                <w:sz w:val="18"/>
                <w:szCs w:val="18"/>
              </w:rPr>
              <w:t>过课程的学习使学生掌握西门子PLC和触摸屏的编程及应用技术，对可编程控制器构成的控制系统进行软件编程和控制电路的分析和设计，提高实践技能，增强分析和解决实际问题的能力。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1.课程的教学内容具有组态软件变量的定义和管理、定义I/O设备、应用程序命令语言的能力；具有如何在运行系统中判断和控制设备通信状态的能力</w:t>
            </w:r>
            <w:r>
              <w:rPr>
                <w:rFonts w:hint="eastAsia" w:ascii="宋体" w:hAnsi="宋体"/>
              </w:rPr>
              <w:t>。</w:t>
            </w:r>
            <w:r>
              <w:rPr>
                <w:rFonts w:hint="eastAsia" w:asciiTheme="minorEastAsia" w:hAnsiTheme="minorEastAsia"/>
                <w:sz w:val="18"/>
                <w:szCs w:val="18"/>
              </w:rPr>
              <w:t xml:space="preserve"> 2.课程教学以线上线下相结合的方式进行，理论和上机实操相结合，鼓励学生自行学习练习，在做中学，在学中做。</w:t>
            </w:r>
          </w:p>
          <w:p>
            <w:pPr>
              <w:rPr>
                <w:rFonts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asciiTheme="minorEastAsia" w:hAnsiTheme="minorEastAsia"/>
                <w:sz w:val="18"/>
                <w:szCs w:val="18"/>
              </w:rPr>
              <w:t>40</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w:t>
            </w:r>
            <w:r>
              <w:rPr>
                <w:rFonts w:asciiTheme="minorEastAsia" w:hAnsiTheme="minorEastAsia"/>
                <w:sz w:val="18"/>
                <w:szCs w:val="18"/>
              </w:rPr>
              <w:t>40</w:t>
            </w:r>
            <w:r>
              <w:rPr>
                <w:rFonts w:hint="eastAsia" w:asciiTheme="minorEastAsia" w:hAnsi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576" w:type="dxa"/>
            <w:vAlign w:val="center"/>
          </w:tcPr>
          <w:p>
            <w:pPr>
              <w:jc w:val="center"/>
              <w:rPr>
                <w:rFonts w:hint="eastAsia" w:asciiTheme="minorEastAsia" w:hAnsiTheme="minorEastAsia" w:eastAsiaTheme="minorEastAsia"/>
                <w:sz w:val="18"/>
                <w:szCs w:val="18"/>
                <w:lang w:val="en-US" w:eastAsia="zh-CN"/>
              </w:rPr>
            </w:pPr>
            <w:bookmarkStart w:id="18" w:name="_Toc89793278"/>
            <w:r>
              <w:rPr>
                <w:rFonts w:hint="eastAsia" w:asciiTheme="minorEastAsia" w:hAnsiTheme="minorEastAsia"/>
                <w:sz w:val="18"/>
                <w:szCs w:val="18"/>
                <w:lang w:val="en-US" w:eastAsia="zh-CN"/>
              </w:rPr>
              <w:t>8</w:t>
            </w:r>
          </w:p>
        </w:tc>
        <w:tc>
          <w:tcPr>
            <w:tcW w:w="185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eastAsia"/>
                <w:sz w:val="18"/>
                <w:szCs w:val="18"/>
              </w:rPr>
            </w:pPr>
            <w:r>
              <w:rPr>
                <w:rFonts w:hint="eastAsia"/>
                <w:sz w:val="18"/>
                <w:szCs w:val="18"/>
              </w:rPr>
              <w:t>金工实习</w:t>
            </w:r>
          </w:p>
        </w:tc>
        <w:tc>
          <w:tcPr>
            <w:tcW w:w="592"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default" w:eastAsiaTheme="minorEastAsia"/>
                <w:sz w:val="18"/>
                <w:szCs w:val="18"/>
                <w:lang w:val="en-US" w:eastAsia="zh-CN"/>
              </w:rPr>
            </w:pPr>
            <w:r>
              <w:rPr>
                <w:rFonts w:hint="eastAsia"/>
                <w:sz w:val="18"/>
                <w:szCs w:val="18"/>
                <w:lang w:val="en-US" w:eastAsia="zh-CN"/>
              </w:rPr>
              <w:t>2.5</w:t>
            </w:r>
          </w:p>
        </w:tc>
        <w:tc>
          <w:tcPr>
            <w:tcW w:w="117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sz w:val="18"/>
                <w:szCs w:val="18"/>
                <w:lang w:val="en-US" w:eastAsia="zh-CN"/>
              </w:rPr>
            </w:pPr>
            <w:r>
              <w:rPr>
                <w:rFonts w:hint="eastAsia"/>
                <w:sz w:val="18"/>
                <w:szCs w:val="18"/>
                <w:lang w:val="en-US" w:eastAsia="zh-CN"/>
              </w:rPr>
              <w:t>48</w:t>
            </w:r>
          </w:p>
        </w:tc>
        <w:tc>
          <w:tcPr>
            <w:tcW w:w="2113" w:type="dxa"/>
            <w:tcBorders>
              <w:top w:val="single" w:color="auto" w:sz="4" w:space="0"/>
              <w:bottom w:val="single" w:color="auto" w:sz="4" w:space="0"/>
            </w:tcBorders>
            <w:vAlign w:val="center"/>
          </w:tcPr>
          <w:p>
            <w:pPr>
              <w:rPr>
                <w:rFonts w:hint="eastAsia" w:asciiTheme="minorEastAsia" w:hAnsiTheme="minorEastAsia"/>
                <w:sz w:val="18"/>
                <w:szCs w:val="18"/>
              </w:rPr>
            </w:pPr>
            <w:r>
              <w:rPr>
                <w:rFonts w:hint="eastAsia" w:asciiTheme="minorEastAsia" w:hAnsiTheme="minorEastAsia"/>
                <w:sz w:val="18"/>
                <w:szCs w:val="18"/>
              </w:rPr>
              <w:t>通过实习,使学生熟悉机械制造的一般过程,掌握金属加工的主要工艺方法和工艺过程,熟悉各种设备和工具的安全操作使用方法;了解新工艺和新技术在机械制造中的使用;掌握对简单零件冷热加工方法选择和工艺分析的能力;培养学生认识图纸、加工符号及了解技术条件的能力</w:t>
            </w:r>
          </w:p>
        </w:tc>
        <w:tc>
          <w:tcPr>
            <w:tcW w:w="2002" w:type="dxa"/>
            <w:vAlign w:val="center"/>
          </w:tcPr>
          <w:p>
            <w:pPr>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课程的教学要求是完成车工、钳工、铣工和焊工的基本操作和学习相关金属工艺知识，使学生了解机械制造的一般过程。</w:t>
            </w:r>
          </w:p>
          <w:p>
            <w:pPr>
              <w:rPr>
                <w:rFonts w:hint="default" w:asciiTheme="minorEastAsia" w:hAnsiTheme="minorEastAsia"/>
                <w:sz w:val="18"/>
                <w:szCs w:val="18"/>
                <w:lang w:val="en-US" w:eastAsia="zh-CN"/>
              </w:rPr>
            </w:pPr>
            <w:r>
              <w:rPr>
                <w:rFonts w:hint="eastAsia" w:asciiTheme="minorEastAsia" w:hAnsiTheme="minorEastAsia"/>
                <w:sz w:val="18"/>
                <w:szCs w:val="18"/>
                <w:lang w:val="en-US" w:eastAsia="zh-CN"/>
              </w:rPr>
              <w:t>是重要的实践教学环节，做中学，学中做。</w:t>
            </w:r>
          </w:p>
          <w:p>
            <w:pPr>
              <w:rPr>
                <w:rFonts w:hint="default" w:asciiTheme="minorEastAsia" w:hAnsiTheme="minorEastAsia"/>
                <w:sz w:val="18"/>
                <w:szCs w:val="18"/>
                <w:lang w:val="en-US" w:eastAsia="zh-CN"/>
              </w:rPr>
            </w:pPr>
            <w:r>
              <w:rPr>
                <w:rFonts w:hint="eastAsia" w:asciiTheme="minorEastAsia" w:hAnsiTheme="minorEastAsia"/>
                <w:sz w:val="18"/>
                <w:szCs w:val="18"/>
              </w:rPr>
              <w:t>课程考核方式为</w:t>
            </w:r>
            <w:r>
              <w:rPr>
                <w:rFonts w:hint="eastAsia" w:asciiTheme="minorEastAsia" w:hAnsiTheme="minorEastAsia"/>
                <w:sz w:val="18"/>
                <w:szCs w:val="18"/>
                <w:lang w:eastAsia="zh-CN"/>
              </w:rPr>
              <w:t>考查</w:t>
            </w:r>
            <w:r>
              <w:rPr>
                <w:rFonts w:hint="eastAsia" w:asciiTheme="minorEastAsia" w:hAnsiTheme="minorEastAsia"/>
                <w:sz w:val="18"/>
                <w:szCs w:val="18"/>
              </w:rPr>
              <w:t>。</w:t>
            </w:r>
          </w:p>
        </w:tc>
        <w:tc>
          <w:tcPr>
            <w:tcW w:w="580" w:type="dxa"/>
            <w:vAlign w:val="center"/>
          </w:tcPr>
          <w:p>
            <w:pPr>
              <w:rPr>
                <w:rFonts w:hint="eastAsia" w:asciiTheme="minorEastAsia" w:hAnsiTheme="minorEastAsia"/>
                <w:sz w:val="18"/>
                <w:szCs w:val="18"/>
              </w:rPr>
            </w:pPr>
            <w:r>
              <w:rPr>
                <w:rFonts w:hint="eastAsia" w:asciiTheme="minorEastAsia" w:hAnsiTheme="minorEastAsia"/>
                <w:sz w:val="18"/>
                <w:szCs w:val="18"/>
                <w:lang w:eastAsia="zh-CN"/>
              </w:rPr>
              <w:t>纯实操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576" w:type="dxa"/>
            <w:vAlign w:val="center"/>
          </w:tcPr>
          <w:p>
            <w:pPr>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9</w:t>
            </w:r>
          </w:p>
        </w:tc>
        <w:tc>
          <w:tcPr>
            <w:tcW w:w="185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eastAsia"/>
                <w:sz w:val="18"/>
                <w:szCs w:val="18"/>
              </w:rPr>
            </w:pPr>
            <w:r>
              <w:rPr>
                <w:rFonts w:hint="eastAsia"/>
                <w:sz w:val="18"/>
                <w:szCs w:val="18"/>
              </w:rPr>
              <w:t>可编程控制技术实训</w:t>
            </w:r>
          </w:p>
        </w:tc>
        <w:tc>
          <w:tcPr>
            <w:tcW w:w="592"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eastAsia" w:eastAsiaTheme="minorEastAsia"/>
                <w:sz w:val="18"/>
                <w:szCs w:val="18"/>
                <w:lang w:val="en-US" w:eastAsia="zh-CN"/>
              </w:rPr>
            </w:pPr>
            <w:r>
              <w:rPr>
                <w:rFonts w:hint="eastAsia"/>
                <w:sz w:val="18"/>
                <w:szCs w:val="18"/>
                <w:lang w:val="en-US" w:eastAsia="zh-CN"/>
              </w:rPr>
              <w:t>1</w:t>
            </w:r>
          </w:p>
        </w:tc>
        <w:tc>
          <w:tcPr>
            <w:tcW w:w="117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sz w:val="18"/>
                <w:szCs w:val="18"/>
                <w:lang w:val="en-US" w:eastAsia="zh-CN"/>
              </w:rPr>
            </w:pPr>
            <w:r>
              <w:rPr>
                <w:rFonts w:hint="eastAsia"/>
                <w:sz w:val="18"/>
                <w:szCs w:val="18"/>
                <w:lang w:val="en-US" w:eastAsia="zh-CN"/>
              </w:rPr>
              <w:t>24</w:t>
            </w:r>
          </w:p>
        </w:tc>
        <w:tc>
          <w:tcPr>
            <w:tcW w:w="2113" w:type="dxa"/>
            <w:tcBorders>
              <w:top w:val="single" w:color="auto" w:sz="4" w:space="0"/>
            </w:tcBorders>
            <w:vAlign w:val="center"/>
          </w:tcPr>
          <w:p>
            <w:pPr>
              <w:rPr>
                <w:rFonts w:hint="eastAsia" w:asciiTheme="minorEastAsia" w:hAnsiTheme="minorEastAsia"/>
                <w:sz w:val="18"/>
                <w:szCs w:val="18"/>
              </w:rPr>
            </w:pPr>
            <w:r>
              <w:rPr>
                <w:rFonts w:hint="eastAsia" w:asciiTheme="minorEastAsia" w:hAnsiTheme="minorEastAsia"/>
                <w:sz w:val="18"/>
                <w:szCs w:val="18"/>
              </w:rPr>
              <w:t>通过课程的学习使学生掌握西门子PLC和触摸屏的编程及应用技术，对可编程控制器构成的控制系统进行软件编程和控制电路的分析和设计，提高实践技能，增强分析和解决实际问题的能力。</w:t>
            </w:r>
          </w:p>
        </w:tc>
        <w:tc>
          <w:tcPr>
            <w:tcW w:w="2002" w:type="dxa"/>
            <w:vAlign w:val="center"/>
          </w:tcPr>
          <w:p>
            <w:pPr>
              <w:rPr>
                <w:rFonts w:hint="eastAsia" w:asciiTheme="minorEastAsia" w:hAnsiTheme="minorEastAsia"/>
                <w:sz w:val="18"/>
                <w:szCs w:val="18"/>
              </w:rPr>
            </w:pPr>
            <w:r>
              <w:rPr>
                <w:rFonts w:hint="eastAsia" w:asciiTheme="minorEastAsia" w:hAnsiTheme="minorEastAsia"/>
                <w:sz w:val="18"/>
                <w:szCs w:val="18"/>
              </w:rPr>
              <w:t>1.课程的教学内容具有组态软件变量的定义和管理、定义I/O设备、应用程序命令语言的能力；具有如何在运行系统中判断和控制设备通信状态的能力。 2.课程教学以线上线下相结合的方式进行，理论和上机实操相结合，鼓励学生自行学习练习，在做中学，在学中做。</w:t>
            </w:r>
          </w:p>
          <w:p>
            <w:pPr>
              <w:rPr>
                <w:rFonts w:hint="eastAsia" w:asciiTheme="minorEastAsia" w:hAnsiTheme="minorEastAsia"/>
                <w:sz w:val="18"/>
                <w:szCs w:val="18"/>
              </w:rPr>
            </w:pPr>
            <w:r>
              <w:rPr>
                <w:rFonts w:hint="eastAsia" w:asciiTheme="minorEastAsia" w:hAnsiTheme="minorEastAsia"/>
                <w:sz w:val="18"/>
                <w:szCs w:val="18"/>
              </w:rPr>
              <w:t>3.课程考核方式为</w:t>
            </w:r>
            <w:r>
              <w:rPr>
                <w:rFonts w:hint="eastAsia" w:asciiTheme="minorEastAsia" w:hAnsiTheme="minorEastAsia"/>
                <w:sz w:val="18"/>
                <w:szCs w:val="18"/>
                <w:lang w:eastAsia="zh-CN"/>
              </w:rPr>
              <w:t>考查</w:t>
            </w:r>
            <w:r>
              <w:rPr>
                <w:rFonts w:hint="eastAsia" w:asciiTheme="minorEastAsia" w:hAnsiTheme="minorEastAsia"/>
                <w:sz w:val="18"/>
                <w:szCs w:val="18"/>
              </w:rPr>
              <w:t>。</w:t>
            </w:r>
          </w:p>
        </w:tc>
        <w:tc>
          <w:tcPr>
            <w:tcW w:w="580" w:type="dxa"/>
            <w:vAlign w:val="center"/>
          </w:tcPr>
          <w:p>
            <w:pPr>
              <w:rPr>
                <w:rFonts w:hint="eastAsia" w:asciiTheme="minorEastAsia" w:hAnsiTheme="minorEastAsia"/>
                <w:sz w:val="18"/>
                <w:szCs w:val="18"/>
                <w:lang w:eastAsia="zh-CN"/>
              </w:rPr>
            </w:pPr>
            <w:r>
              <w:rPr>
                <w:rFonts w:hint="eastAsia" w:asciiTheme="minorEastAsia" w:hAnsiTheme="minorEastAsia"/>
                <w:sz w:val="18"/>
                <w:szCs w:val="18"/>
                <w:lang w:eastAsia="zh-CN"/>
              </w:rPr>
              <w:t>纯实操</w:t>
            </w:r>
          </w:p>
        </w:tc>
      </w:tr>
    </w:tbl>
    <w:p>
      <w:pPr>
        <w:pStyle w:val="2"/>
        <w:spacing w:before="234" w:after="234"/>
        <w:ind w:left="420"/>
      </w:pPr>
      <w:r>
        <w:t>2</w:t>
      </w:r>
      <w:r>
        <w:rPr>
          <w:rFonts w:hint="eastAsia"/>
        </w:rPr>
        <w:t>.专业技术方向课</w:t>
      </w:r>
      <w:bookmarkEnd w:id="18"/>
    </w:p>
    <w:p>
      <w:pPr>
        <w:ind w:firstLine="420" w:firstLineChars="200"/>
      </w:pPr>
      <w:r>
        <w:rPr>
          <w:rFonts w:hint="eastAsia"/>
        </w:rPr>
        <w:t>本专业开设的专业技术方向课见表6。</w:t>
      </w:r>
    </w:p>
    <w:p>
      <w:pPr>
        <w:jc w:val="center"/>
      </w:pPr>
      <w:r>
        <w:rPr>
          <w:rFonts w:hint="eastAsia"/>
        </w:rPr>
        <w:t>表6</w:t>
      </w:r>
      <w:r>
        <w:t xml:space="preserve"> </w:t>
      </w:r>
      <w:r>
        <w:rPr>
          <w:rFonts w:hint="eastAsia"/>
        </w:rPr>
        <w:t>专业技术方向课</w:t>
      </w:r>
    </w:p>
    <w:tbl>
      <w:tblPr>
        <w:tblStyle w:val="15"/>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858"/>
        <w:gridCol w:w="592"/>
        <w:gridCol w:w="1176"/>
        <w:gridCol w:w="2113"/>
        <w:gridCol w:w="2002"/>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序号</w:t>
            </w:r>
          </w:p>
        </w:tc>
        <w:tc>
          <w:tcPr>
            <w:tcW w:w="1858" w:type="dxa"/>
            <w:vAlign w:val="center"/>
          </w:tcPr>
          <w:p>
            <w:pPr>
              <w:jc w:val="center"/>
              <w:rPr>
                <w:rFonts w:asciiTheme="minorEastAsia" w:hAnsiTheme="minorEastAsia"/>
                <w:sz w:val="18"/>
                <w:szCs w:val="18"/>
              </w:rPr>
            </w:pPr>
            <w:r>
              <w:rPr>
                <w:rFonts w:hint="eastAsia" w:asciiTheme="minorEastAsia" w:hAnsiTheme="minorEastAsia"/>
                <w:sz w:val="18"/>
                <w:szCs w:val="18"/>
              </w:rPr>
              <w:t>课程名称</w:t>
            </w:r>
          </w:p>
        </w:tc>
        <w:tc>
          <w:tcPr>
            <w:tcW w:w="592" w:type="dxa"/>
            <w:vAlign w:val="center"/>
          </w:tcPr>
          <w:p>
            <w:pPr>
              <w:jc w:val="center"/>
              <w:rPr>
                <w:rFonts w:asciiTheme="minorEastAsia" w:hAnsiTheme="minorEastAsia"/>
                <w:sz w:val="18"/>
                <w:szCs w:val="18"/>
              </w:rPr>
            </w:pPr>
            <w:r>
              <w:rPr>
                <w:rFonts w:hint="eastAsia" w:asciiTheme="minorEastAsia" w:hAnsiTheme="minorEastAsia"/>
                <w:sz w:val="18"/>
                <w:szCs w:val="18"/>
              </w:rPr>
              <w:t>学分</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学时</w:t>
            </w:r>
          </w:p>
        </w:tc>
        <w:tc>
          <w:tcPr>
            <w:tcW w:w="2113" w:type="dxa"/>
            <w:vAlign w:val="center"/>
          </w:tcPr>
          <w:p>
            <w:pPr>
              <w:jc w:val="center"/>
              <w:rPr>
                <w:rFonts w:asciiTheme="minorEastAsia" w:hAnsiTheme="minorEastAsia"/>
                <w:sz w:val="18"/>
                <w:szCs w:val="18"/>
              </w:rPr>
            </w:pPr>
            <w:r>
              <w:rPr>
                <w:rFonts w:hint="eastAsia" w:asciiTheme="minorEastAsia" w:hAnsiTheme="minorEastAsia"/>
                <w:sz w:val="18"/>
                <w:szCs w:val="18"/>
              </w:rPr>
              <w:t>课程目标</w:t>
            </w:r>
          </w:p>
        </w:tc>
        <w:tc>
          <w:tcPr>
            <w:tcW w:w="2002" w:type="dxa"/>
            <w:vAlign w:val="center"/>
          </w:tcPr>
          <w:p>
            <w:pPr>
              <w:jc w:val="center"/>
              <w:rPr>
                <w:rFonts w:asciiTheme="minorEastAsia" w:hAnsiTheme="minorEastAsia"/>
                <w:sz w:val="18"/>
                <w:szCs w:val="18"/>
              </w:rPr>
            </w:pPr>
            <w:r>
              <w:rPr>
                <w:rFonts w:hint="eastAsia" w:asciiTheme="minorEastAsia" w:hAnsiTheme="minorEastAsia"/>
                <w:sz w:val="18"/>
                <w:szCs w:val="18"/>
              </w:rPr>
              <w:t>主要内容和教学要求</w:t>
            </w:r>
          </w:p>
        </w:tc>
        <w:tc>
          <w:tcPr>
            <w:tcW w:w="580" w:type="dxa"/>
            <w:vAlign w:val="center"/>
          </w:tcPr>
          <w:p>
            <w:pPr>
              <w:jc w:val="center"/>
              <w:rPr>
                <w:rFonts w:asciiTheme="minorEastAsia" w:hAnsiTheme="minorEastAsia"/>
                <w:sz w:val="18"/>
                <w:szCs w:val="18"/>
              </w:rPr>
            </w:pPr>
            <w:r>
              <w:rPr>
                <w:rFonts w:hint="eastAsia" w:asciiTheme="minorEastAsia" w:hAnsi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185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单片机应用技术</w:t>
            </w:r>
          </w:p>
        </w:tc>
        <w:tc>
          <w:tcPr>
            <w:tcW w:w="592"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3.5</w:t>
            </w:r>
          </w:p>
        </w:tc>
        <w:tc>
          <w:tcPr>
            <w:tcW w:w="117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sz w:val="18"/>
                <w:szCs w:val="18"/>
              </w:rPr>
            </w:pPr>
            <w:r>
              <w:rPr>
                <w:rFonts w:hint="eastAsia"/>
                <w:sz w:val="18"/>
                <w:szCs w:val="18"/>
              </w:rPr>
              <w:t>68</w:t>
            </w:r>
          </w:p>
        </w:tc>
        <w:tc>
          <w:tcPr>
            <w:tcW w:w="2113" w:type="dxa"/>
            <w:vAlign w:val="center"/>
          </w:tcPr>
          <w:p>
            <w:pPr>
              <w:rPr>
                <w:rFonts w:asciiTheme="minorEastAsia" w:hAnsiTheme="minorEastAsia"/>
                <w:sz w:val="18"/>
                <w:szCs w:val="18"/>
              </w:rPr>
            </w:pPr>
            <w:r>
              <w:rPr>
                <w:rFonts w:hint="eastAsia" w:asciiTheme="minorEastAsia" w:hAnsiTheme="minorEastAsia"/>
                <w:sz w:val="18"/>
                <w:szCs w:val="18"/>
              </w:rPr>
              <w:t>通</w:t>
            </w:r>
            <w:r>
              <w:rPr>
                <w:rFonts w:hint="eastAsia"/>
                <w:sz w:val="18"/>
                <w:szCs w:val="18"/>
              </w:rPr>
              <w:t>过课程的学习使51单片机I/O端口使用，定时器和中断编程，以及外围电路的搭建和编程，通过软件编程、电脑仿真和硬件电路实操，提高实践技能，增强分析和解决实际问题的能力。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1.课程的教学内容I/O端口应用、LED数码管、LCD液晶显示、键盘、定时器和中断、串行通信</w:t>
            </w:r>
            <w:r>
              <w:rPr>
                <w:rFonts w:hint="eastAsia" w:ascii="宋体" w:hAnsi="宋体"/>
              </w:rPr>
              <w:t>。</w:t>
            </w:r>
            <w:r>
              <w:rPr>
                <w:rFonts w:hint="eastAsia" w:asciiTheme="minorEastAsia" w:hAnsiTheme="minorEastAsia"/>
                <w:sz w:val="18"/>
                <w:szCs w:val="18"/>
              </w:rPr>
              <w:t xml:space="preserve"> 2.课程教学以线上线下相结合的方式进行，理论和上机实操相结合，鼓励学生自行学习练习，在做中学，在学中做。</w:t>
            </w:r>
          </w:p>
          <w:p>
            <w:pPr>
              <w:rPr>
                <w:rFonts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asciiTheme="minorEastAsia" w:hAnsiTheme="minorEastAsia"/>
                <w:sz w:val="18"/>
                <w:szCs w:val="18"/>
              </w:rPr>
              <w:t>32</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实践3</w:t>
            </w:r>
            <w:r>
              <w:rPr>
                <w:rFonts w:asciiTheme="minorEastAsia" w:hAnsiTheme="minorEastAsia"/>
                <w:sz w:val="18"/>
                <w:szCs w:val="18"/>
              </w:rPr>
              <w:t>6</w:t>
            </w:r>
            <w:r>
              <w:rPr>
                <w:rFonts w:hint="eastAsia" w:asciiTheme="minorEastAsia" w:hAnsi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1858"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计算机绘图</w:t>
            </w:r>
          </w:p>
        </w:tc>
        <w:tc>
          <w:tcPr>
            <w:tcW w:w="592"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3.0</w:t>
            </w:r>
          </w:p>
        </w:tc>
        <w:tc>
          <w:tcPr>
            <w:tcW w:w="1176"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eastAsiaTheme="minorEastAsia"/>
                <w:sz w:val="18"/>
                <w:szCs w:val="18"/>
                <w:lang w:eastAsia="zh-CN"/>
              </w:rPr>
            </w:pPr>
            <w:r>
              <w:rPr>
                <w:rFonts w:hint="eastAsia"/>
                <w:sz w:val="18"/>
                <w:szCs w:val="18"/>
              </w:rPr>
              <w:t>5</w:t>
            </w:r>
            <w:r>
              <w:rPr>
                <w:rFonts w:hint="eastAsia"/>
                <w:sz w:val="18"/>
                <w:szCs w:val="18"/>
                <w:lang w:val="en-US" w:eastAsia="zh-CN"/>
              </w:rPr>
              <w:t>6</w:t>
            </w:r>
          </w:p>
        </w:tc>
        <w:tc>
          <w:tcPr>
            <w:tcW w:w="2113" w:type="dxa"/>
            <w:vAlign w:val="center"/>
          </w:tcPr>
          <w:p>
            <w:pPr>
              <w:rPr>
                <w:sz w:val="18"/>
                <w:szCs w:val="18"/>
              </w:rPr>
            </w:pPr>
            <w:r>
              <w:rPr>
                <w:rFonts w:hint="eastAsia"/>
                <w:sz w:val="18"/>
                <w:szCs w:val="18"/>
              </w:rPr>
              <w:t>通过课程的学习使学生掌握阅读分析零件图；AutoCAD绘制零件各个视角的二维图形，能掌握的三维模型的创建；绘制出符合行业规范的图纸并能在打印机或绘图仪出图，增强分析和解决实际问题的能力。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1.课程的教学内容掌握基本线、圆弧等操作，学会文字与表格、尺寸标注、图块使用，能进行零件图绘制、装配图绘制、图形输出等。 2.课程教学以线上线下相结合的方式进行，理论和上机实操相结合，鼓励学生自行学习练习，在做中学，在学中做。</w:t>
            </w:r>
          </w:p>
          <w:p>
            <w:pPr>
              <w:rPr>
                <w:rFonts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hint="eastAsia" w:asciiTheme="minorEastAsia" w:hAnsiTheme="minorEastAsia"/>
                <w:sz w:val="18"/>
                <w:szCs w:val="18"/>
                <w:lang w:val="en-US" w:eastAsia="zh-CN"/>
              </w:rPr>
              <w:t>30</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w:t>
            </w:r>
            <w:r>
              <w:rPr>
                <w:rFonts w:asciiTheme="minorEastAsia" w:hAnsiTheme="minorEastAsia"/>
                <w:sz w:val="18"/>
                <w:szCs w:val="18"/>
              </w:rPr>
              <w:t>26</w:t>
            </w:r>
            <w:r>
              <w:rPr>
                <w:rFonts w:hint="eastAsia" w:asciiTheme="minorEastAsia" w:hAnsi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1858"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机械设计基础</w:t>
            </w:r>
          </w:p>
        </w:tc>
        <w:tc>
          <w:tcPr>
            <w:tcW w:w="592"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3.0</w:t>
            </w:r>
          </w:p>
        </w:tc>
        <w:tc>
          <w:tcPr>
            <w:tcW w:w="1176" w:type="dxa"/>
            <w:tcBorders>
              <w:top w:val="nil"/>
              <w:left w:val="single" w:color="auto" w:sz="4" w:space="0"/>
              <w:bottom w:val="single" w:color="auto" w:sz="4" w:space="0"/>
              <w:right w:val="single" w:color="auto" w:sz="4" w:space="0"/>
            </w:tcBorders>
            <w:shd w:val="clear" w:color="000000" w:fill="FFFFFF"/>
            <w:vAlign w:val="center"/>
          </w:tcPr>
          <w:p>
            <w:pPr>
              <w:jc w:val="center"/>
              <w:rPr>
                <w:rFonts w:hint="default" w:asciiTheme="minorEastAsia" w:hAnsiTheme="minorEastAsia" w:eastAsiaTheme="minorEastAsia"/>
                <w:sz w:val="18"/>
                <w:szCs w:val="18"/>
                <w:lang w:val="en-US" w:eastAsia="zh-CN"/>
              </w:rPr>
            </w:pPr>
            <w:r>
              <w:rPr>
                <w:rFonts w:hint="eastAsia"/>
                <w:sz w:val="18"/>
                <w:szCs w:val="18"/>
                <w:lang w:val="en-US" w:eastAsia="zh-CN"/>
              </w:rPr>
              <w:t>60</w:t>
            </w:r>
          </w:p>
        </w:tc>
        <w:tc>
          <w:tcPr>
            <w:tcW w:w="2113" w:type="dxa"/>
            <w:vAlign w:val="center"/>
          </w:tcPr>
          <w:p>
            <w:pPr>
              <w:rPr>
                <w:rFonts w:asciiTheme="minorEastAsia" w:hAnsiTheme="minorEastAsia"/>
                <w:sz w:val="18"/>
                <w:szCs w:val="18"/>
              </w:rPr>
            </w:pPr>
            <w:r>
              <w:rPr>
                <w:rFonts w:hint="eastAsia"/>
                <w:sz w:val="18"/>
                <w:szCs w:val="18"/>
              </w:rPr>
              <w:t>通过课程的学习使学生</w:t>
            </w:r>
            <w:r>
              <w:rPr>
                <w:sz w:val="18"/>
                <w:szCs w:val="18"/>
              </w:rPr>
              <w:t>掌握简单机械系统的设计和应用</w:t>
            </w:r>
            <w:r>
              <w:rPr>
                <w:rFonts w:hint="eastAsia"/>
                <w:sz w:val="18"/>
                <w:szCs w:val="18"/>
              </w:rPr>
              <w:t>方法，具备机械设计初步能力和机械操作能力</w:t>
            </w:r>
            <w:r>
              <w:rPr>
                <w:sz w:val="18"/>
                <w:szCs w:val="18"/>
              </w:rPr>
              <w:t>。</w:t>
            </w:r>
            <w:r>
              <w:rPr>
                <w:rFonts w:hint="eastAsia"/>
                <w:sz w:val="18"/>
                <w:szCs w:val="18"/>
              </w:rPr>
              <w:t>为学生进一步学习有关专业课程和日后从事机械产品结构设计、机械产品造型设计、机械设备操作、机械维修等工作打下基础，同时培养学生正确的方法能力及社会能力，增强分析和解决实际问题的能力。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w:t>
            </w:r>
            <w:r>
              <w:rPr>
                <w:rFonts w:hint="eastAsia"/>
                <w:sz w:val="18"/>
                <w:szCs w:val="18"/>
              </w:rPr>
              <w:t>程的教学内容以常有机械零部件的设计和选用为核心，要求熟练掌握凸轮、带、齿轮、涡轮蜗杆、轮系、连接、轴和轴承的有关结构和理论参数设计；以常有机械传动机构为纽带，要求熟练设计出平面连杆机构、凸轮机构、带传动、齿轮传动机构、蜗杆机构等常用机械传动装置。</w:t>
            </w:r>
            <w:r>
              <w:rPr>
                <w:rFonts w:hint="eastAsia" w:asciiTheme="minorEastAsia" w:hAnsiTheme="minorEastAsia"/>
                <w:sz w:val="18"/>
                <w:szCs w:val="18"/>
              </w:rPr>
              <w:t xml:space="preserve"> 2.课程教学以线上线下相结合的方式进行，理论和实操相结合，鼓励学生自行学习练习，在做中学，在学中做。</w:t>
            </w:r>
          </w:p>
          <w:p>
            <w:pPr>
              <w:rPr>
                <w:rFonts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asciiTheme="minorEastAsia" w:hAnsiTheme="minorEastAsia"/>
                <w:sz w:val="18"/>
                <w:szCs w:val="18"/>
              </w:rPr>
              <w:t>30</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w:t>
            </w:r>
            <w:r>
              <w:rPr>
                <w:rFonts w:hint="eastAsia" w:asciiTheme="minorEastAsia" w:hAnsiTheme="minorEastAsia"/>
                <w:sz w:val="18"/>
                <w:szCs w:val="18"/>
                <w:lang w:val="en-US" w:eastAsia="zh-CN"/>
              </w:rPr>
              <w:t>30</w:t>
            </w:r>
            <w:r>
              <w:rPr>
                <w:rFonts w:hint="eastAsia" w:asciiTheme="minorEastAsia" w:hAnsi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4</w:t>
            </w:r>
          </w:p>
        </w:tc>
        <w:tc>
          <w:tcPr>
            <w:tcW w:w="1858"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电工技能训练</w:t>
            </w:r>
          </w:p>
        </w:tc>
        <w:tc>
          <w:tcPr>
            <w:tcW w:w="592"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3.0</w:t>
            </w:r>
          </w:p>
        </w:tc>
        <w:tc>
          <w:tcPr>
            <w:tcW w:w="1176" w:type="dxa"/>
            <w:tcBorders>
              <w:top w:val="nil"/>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sz w:val="18"/>
                <w:szCs w:val="18"/>
              </w:rPr>
            </w:pPr>
            <w:r>
              <w:rPr>
                <w:sz w:val="18"/>
                <w:szCs w:val="18"/>
              </w:rPr>
              <w:t>60</w:t>
            </w:r>
          </w:p>
        </w:tc>
        <w:tc>
          <w:tcPr>
            <w:tcW w:w="2113" w:type="dxa"/>
            <w:vAlign w:val="center"/>
          </w:tcPr>
          <w:p>
            <w:pPr>
              <w:rPr>
                <w:sz w:val="18"/>
                <w:szCs w:val="18"/>
              </w:rPr>
            </w:pPr>
            <w:r>
              <w:rPr>
                <w:rFonts w:hint="eastAsia"/>
                <w:sz w:val="18"/>
                <w:szCs w:val="18"/>
              </w:rPr>
              <w:t>通过课程的学习使学生</w:t>
            </w:r>
            <w:r>
              <w:rPr>
                <w:sz w:val="18"/>
                <w:szCs w:val="18"/>
              </w:rPr>
              <w:t>掌握较强的设计、调试和维护等实践技能</w:t>
            </w:r>
            <w:r>
              <w:rPr>
                <w:rFonts w:hint="eastAsia"/>
                <w:sz w:val="18"/>
                <w:szCs w:val="18"/>
              </w:rPr>
              <w:t>，能</w:t>
            </w:r>
            <w:r>
              <w:rPr>
                <w:sz w:val="18"/>
                <w:szCs w:val="18"/>
              </w:rPr>
              <w:t>进行简单供配电系统和</w:t>
            </w:r>
            <w:r>
              <w:rPr>
                <w:rFonts w:hint="eastAsia"/>
                <w:sz w:val="18"/>
                <w:szCs w:val="18"/>
              </w:rPr>
              <w:t>照明</w:t>
            </w:r>
            <w:r>
              <w:rPr>
                <w:sz w:val="18"/>
                <w:szCs w:val="18"/>
              </w:rPr>
              <w:t>系统的设计专业技能</w:t>
            </w:r>
            <w:r>
              <w:rPr>
                <w:rFonts w:hint="eastAsia"/>
                <w:sz w:val="18"/>
                <w:szCs w:val="18"/>
              </w:rPr>
              <w:t>，</w:t>
            </w:r>
            <w:r>
              <w:rPr>
                <w:sz w:val="18"/>
                <w:szCs w:val="18"/>
              </w:rPr>
              <w:t>阅读简单电气原理图、电器布置图和电器安装接线图。</w:t>
            </w:r>
            <w:r>
              <w:rPr>
                <w:rFonts w:hint="eastAsia"/>
                <w:sz w:val="18"/>
                <w:szCs w:val="18"/>
              </w:rPr>
              <w:t>同时培养学生正确的方法能力及社会能力，增强分析和解决实际问题的能力。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1.课程的教学内容掌握供配电</w:t>
            </w:r>
            <w:r>
              <w:rPr>
                <w:rFonts w:asciiTheme="minorEastAsia" w:hAnsiTheme="minorEastAsia"/>
                <w:sz w:val="18"/>
                <w:szCs w:val="18"/>
              </w:rPr>
              <w:t>和电气照明的基础知识</w:t>
            </w:r>
            <w:r>
              <w:rPr>
                <w:rFonts w:hint="eastAsia" w:asciiTheme="minorEastAsia" w:hAnsiTheme="minorEastAsia"/>
                <w:sz w:val="18"/>
                <w:szCs w:val="18"/>
              </w:rPr>
              <w:t>、点击工作原理、常用电</w:t>
            </w:r>
            <w:r>
              <w:rPr>
                <w:rFonts w:asciiTheme="minorEastAsia" w:hAnsiTheme="minorEastAsia"/>
                <w:sz w:val="18"/>
                <w:szCs w:val="18"/>
              </w:rPr>
              <w:t>工工具的操作方法</w:t>
            </w:r>
            <w:r>
              <w:rPr>
                <w:rFonts w:hint="eastAsia" w:asciiTheme="minorEastAsia" w:hAnsiTheme="minorEastAsia"/>
                <w:sz w:val="18"/>
                <w:szCs w:val="18"/>
              </w:rPr>
              <w:t>、触电脱离</w:t>
            </w:r>
            <w:r>
              <w:rPr>
                <w:rFonts w:asciiTheme="minorEastAsia" w:hAnsiTheme="minorEastAsia"/>
                <w:sz w:val="18"/>
                <w:szCs w:val="18"/>
              </w:rPr>
              <w:t>电源</w:t>
            </w:r>
            <w:r>
              <w:rPr>
                <w:rFonts w:hint="eastAsia" w:asciiTheme="minorEastAsia" w:hAnsiTheme="minorEastAsia"/>
                <w:sz w:val="18"/>
                <w:szCs w:val="18"/>
              </w:rPr>
              <w:t>和</w:t>
            </w:r>
            <w:r>
              <w:rPr>
                <w:rFonts w:asciiTheme="minorEastAsia" w:hAnsiTheme="minorEastAsia"/>
                <w:sz w:val="18"/>
                <w:szCs w:val="18"/>
              </w:rPr>
              <w:t>触电急救的方法</w:t>
            </w:r>
            <w:r>
              <w:rPr>
                <w:rFonts w:hint="eastAsia" w:asciiTheme="minorEastAsia" w:hAnsiTheme="minorEastAsia"/>
                <w:sz w:val="18"/>
                <w:szCs w:val="18"/>
              </w:rPr>
              <w:t>。 2.课程教学以线上线下相结合的方式进行，理论和实操相结合，鼓励学生自行学习练习，在做中学，在学中做。</w:t>
            </w:r>
          </w:p>
          <w:p>
            <w:pPr>
              <w:rPr>
                <w:rFonts w:asciiTheme="minorEastAsia" w:hAnsiTheme="minorEastAsia"/>
                <w:sz w:val="18"/>
                <w:szCs w:val="18"/>
              </w:rPr>
            </w:pPr>
            <w:r>
              <w:rPr>
                <w:rFonts w:hint="eastAsia" w:asciiTheme="minorEastAsia" w:hAnsiTheme="minorEastAsia"/>
                <w:sz w:val="18"/>
                <w:szCs w:val="18"/>
              </w:rPr>
              <w:t>3.课程考核方式为考查。</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asciiTheme="minorEastAsia" w:hAnsiTheme="minorEastAsia"/>
                <w:sz w:val="18"/>
                <w:szCs w:val="18"/>
              </w:rPr>
              <w:t>20</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w:t>
            </w:r>
            <w:r>
              <w:rPr>
                <w:rFonts w:asciiTheme="minorEastAsia" w:hAnsiTheme="minorEastAsia"/>
                <w:sz w:val="18"/>
                <w:szCs w:val="18"/>
              </w:rPr>
              <w:t>40</w:t>
            </w:r>
            <w:r>
              <w:rPr>
                <w:rFonts w:hint="eastAsia" w:asciiTheme="minorEastAsia" w:hAnsi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5</w:t>
            </w:r>
          </w:p>
        </w:tc>
        <w:tc>
          <w:tcPr>
            <w:tcW w:w="1858"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传感与检测技术</w:t>
            </w:r>
          </w:p>
        </w:tc>
        <w:tc>
          <w:tcPr>
            <w:tcW w:w="592" w:type="dxa"/>
            <w:tcBorders>
              <w:top w:val="nil"/>
              <w:left w:val="single" w:color="auto" w:sz="4" w:space="0"/>
              <w:bottom w:val="single" w:color="auto" w:sz="4" w:space="0"/>
              <w:right w:val="single" w:color="auto" w:sz="4" w:space="0"/>
            </w:tcBorders>
            <w:shd w:val="clear" w:color="000000" w:fill="FFFFFF"/>
            <w:vAlign w:val="center"/>
          </w:tcPr>
          <w:p>
            <w:pPr>
              <w:rPr>
                <w:rFonts w:hint="default" w:asciiTheme="minorEastAsia" w:hAnsiTheme="minorEastAsia" w:eastAsiaTheme="minorEastAsia"/>
                <w:sz w:val="18"/>
                <w:szCs w:val="18"/>
                <w:lang w:val="en-US" w:eastAsia="zh-CN"/>
              </w:rPr>
            </w:pPr>
            <w:r>
              <w:rPr>
                <w:rFonts w:hint="eastAsia"/>
                <w:sz w:val="18"/>
                <w:szCs w:val="18"/>
                <w:lang w:val="en-US" w:eastAsia="zh-CN"/>
              </w:rPr>
              <w:t>2.5</w:t>
            </w:r>
          </w:p>
        </w:tc>
        <w:tc>
          <w:tcPr>
            <w:tcW w:w="1176" w:type="dxa"/>
            <w:tcBorders>
              <w:top w:val="nil"/>
              <w:left w:val="single" w:color="auto" w:sz="4" w:space="0"/>
              <w:bottom w:val="single" w:color="auto" w:sz="4" w:space="0"/>
              <w:right w:val="single" w:color="auto" w:sz="4" w:space="0"/>
            </w:tcBorders>
            <w:shd w:val="clear" w:color="000000" w:fill="FFFFFF"/>
            <w:vAlign w:val="center"/>
          </w:tcPr>
          <w:p>
            <w:pPr>
              <w:jc w:val="center"/>
              <w:rPr>
                <w:rFonts w:hint="default" w:asciiTheme="minorEastAsia" w:hAnsiTheme="minorEastAsia" w:eastAsiaTheme="minorEastAsia"/>
                <w:sz w:val="18"/>
                <w:szCs w:val="18"/>
                <w:lang w:val="en-US" w:eastAsia="zh-CN"/>
              </w:rPr>
            </w:pPr>
            <w:r>
              <w:rPr>
                <w:rFonts w:hint="eastAsia"/>
                <w:sz w:val="18"/>
                <w:szCs w:val="18"/>
                <w:lang w:val="en-US" w:eastAsia="zh-CN"/>
              </w:rPr>
              <w:t>42</w:t>
            </w:r>
          </w:p>
        </w:tc>
        <w:tc>
          <w:tcPr>
            <w:tcW w:w="2113" w:type="dxa"/>
            <w:vAlign w:val="center"/>
          </w:tcPr>
          <w:p>
            <w:pPr>
              <w:rPr>
                <w:sz w:val="18"/>
                <w:szCs w:val="18"/>
              </w:rPr>
            </w:pPr>
            <w:r>
              <w:rPr>
                <w:rFonts w:hint="eastAsia"/>
                <w:sz w:val="18"/>
                <w:szCs w:val="18"/>
              </w:rPr>
              <w:t>通过课程的学习，培养学习面向企业电气自动化设备的维护、管理、安装、改造和调试岗位，培养从事以上岗位具有必须的技能和职业素质的人员。</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w:t>
            </w:r>
            <w:r>
              <w:rPr>
                <w:rFonts w:hint="eastAsia"/>
                <w:bCs/>
                <w:sz w:val="18"/>
                <w:szCs w:val="18"/>
              </w:rPr>
              <w:t>掌握各种不同类型传感器的作用、原理及应用场合；理解各种传感器的转换测量电路的原理；掌握传感器的选用方法</w:t>
            </w:r>
            <w:r>
              <w:rPr>
                <w:rFonts w:hint="eastAsia" w:asciiTheme="minorEastAsia" w:hAnsiTheme="minorEastAsia"/>
                <w:sz w:val="18"/>
                <w:szCs w:val="18"/>
              </w:rPr>
              <w:t>。 2.课程教学以线上线下相结合的方式进行，理论和实操相结合，鼓励学生自行学习练习，在做中学，在学中做。</w:t>
            </w:r>
          </w:p>
          <w:p>
            <w:pPr>
              <w:rPr>
                <w:rFonts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asciiTheme="minorEastAsia" w:hAnsiTheme="minorEastAsia"/>
                <w:sz w:val="18"/>
                <w:szCs w:val="18"/>
              </w:rPr>
              <w:t>20</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w:t>
            </w:r>
            <w:r>
              <w:rPr>
                <w:rFonts w:asciiTheme="minorEastAsia" w:hAnsiTheme="minorEastAsia"/>
                <w:sz w:val="18"/>
                <w:szCs w:val="18"/>
              </w:rPr>
              <w:t>16</w:t>
            </w:r>
            <w:r>
              <w:rPr>
                <w:rFonts w:hint="eastAsia" w:asciiTheme="minorEastAsia" w:hAnsi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6</w:t>
            </w:r>
          </w:p>
        </w:tc>
        <w:tc>
          <w:tcPr>
            <w:tcW w:w="1858"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变频调速技术</w:t>
            </w:r>
          </w:p>
        </w:tc>
        <w:tc>
          <w:tcPr>
            <w:tcW w:w="592"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2.5</w:t>
            </w:r>
          </w:p>
        </w:tc>
        <w:tc>
          <w:tcPr>
            <w:tcW w:w="1176" w:type="dxa"/>
            <w:tcBorders>
              <w:top w:val="nil"/>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sz w:val="18"/>
                <w:szCs w:val="18"/>
              </w:rPr>
            </w:pPr>
            <w:r>
              <w:rPr>
                <w:rFonts w:hint="eastAsia"/>
                <w:sz w:val="18"/>
                <w:szCs w:val="18"/>
              </w:rPr>
              <w:t>48</w:t>
            </w:r>
          </w:p>
        </w:tc>
        <w:tc>
          <w:tcPr>
            <w:tcW w:w="2113" w:type="dxa"/>
            <w:vAlign w:val="center"/>
          </w:tcPr>
          <w:p>
            <w:pPr>
              <w:rPr>
                <w:rFonts w:asciiTheme="minorEastAsia" w:hAnsiTheme="minorEastAsia"/>
                <w:sz w:val="18"/>
                <w:szCs w:val="18"/>
              </w:rPr>
            </w:pPr>
            <w:r>
              <w:rPr>
                <w:rFonts w:hint="eastAsia"/>
                <w:sz w:val="18"/>
                <w:szCs w:val="18"/>
              </w:rPr>
              <w:t>通过课程的学习，以变频调速原理、方案及其应用为主线，通过典型线路进行讲解，使学生掌握变频调速方案的原理和实际应用。培养学生正确的方法能力及社会能力，增强分析和解决实际问题的能力。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w:t>
            </w:r>
            <w:r>
              <w:rPr>
                <w:rFonts w:hint="eastAsia"/>
                <w:bCs/>
                <w:sz w:val="18"/>
                <w:szCs w:val="18"/>
              </w:rPr>
              <w:t>掌握各种不同类型传感器的作用、原理及应用场合；理解各种传感器的转换测量电路的原理；掌握传感器的选用方法</w:t>
            </w:r>
            <w:r>
              <w:rPr>
                <w:rFonts w:hint="eastAsia" w:asciiTheme="minorEastAsia" w:hAnsiTheme="minorEastAsia"/>
                <w:sz w:val="18"/>
                <w:szCs w:val="18"/>
              </w:rPr>
              <w:t>。 2.课程教学以线上线下相结合的方式进行，理论和实操相结合，鼓励学生自行学习练习，在做中学，在学中做。</w:t>
            </w:r>
          </w:p>
          <w:p>
            <w:pPr>
              <w:rPr>
                <w:rFonts w:asciiTheme="minorEastAsia" w:hAnsiTheme="minorEastAsia"/>
                <w:sz w:val="18"/>
                <w:szCs w:val="18"/>
              </w:rPr>
            </w:pPr>
            <w:r>
              <w:rPr>
                <w:rFonts w:hint="eastAsia" w:asciiTheme="minorEastAsia" w:hAnsiTheme="minorEastAsia"/>
                <w:sz w:val="18"/>
                <w:szCs w:val="18"/>
              </w:rPr>
              <w:t>3.课程考核方式为考查。</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asciiTheme="minorEastAsia" w:hAnsiTheme="minorEastAsia"/>
                <w:sz w:val="18"/>
                <w:szCs w:val="18"/>
              </w:rPr>
              <w:t>26</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w:t>
            </w:r>
            <w:r>
              <w:rPr>
                <w:rFonts w:asciiTheme="minorEastAsia" w:hAnsiTheme="minorEastAsia"/>
                <w:sz w:val="18"/>
                <w:szCs w:val="18"/>
              </w:rPr>
              <w:t>22</w:t>
            </w:r>
            <w:r>
              <w:rPr>
                <w:rFonts w:hint="eastAsia" w:asciiTheme="minorEastAsia" w:hAnsi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7</w:t>
            </w:r>
          </w:p>
        </w:tc>
        <w:tc>
          <w:tcPr>
            <w:tcW w:w="1858"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工业机器人技术</w:t>
            </w:r>
          </w:p>
        </w:tc>
        <w:tc>
          <w:tcPr>
            <w:tcW w:w="592"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4.5</w:t>
            </w:r>
          </w:p>
        </w:tc>
        <w:tc>
          <w:tcPr>
            <w:tcW w:w="1176" w:type="dxa"/>
            <w:tcBorders>
              <w:top w:val="nil"/>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sz w:val="18"/>
                <w:szCs w:val="18"/>
              </w:rPr>
            </w:pPr>
            <w:r>
              <w:rPr>
                <w:rFonts w:hint="eastAsia"/>
                <w:sz w:val="18"/>
                <w:szCs w:val="18"/>
              </w:rPr>
              <w:t>80</w:t>
            </w:r>
          </w:p>
        </w:tc>
        <w:tc>
          <w:tcPr>
            <w:tcW w:w="2113" w:type="dxa"/>
            <w:vAlign w:val="center"/>
          </w:tcPr>
          <w:p>
            <w:pPr>
              <w:rPr>
                <w:rFonts w:asciiTheme="minorEastAsia" w:hAnsiTheme="minorEastAsia"/>
                <w:sz w:val="18"/>
                <w:szCs w:val="18"/>
              </w:rPr>
            </w:pPr>
            <w:r>
              <w:rPr>
                <w:rFonts w:hint="eastAsia"/>
                <w:sz w:val="18"/>
                <w:szCs w:val="18"/>
              </w:rPr>
              <w:t>通过课程的学习，使学生掌握典型的机器人结构、正确操作工业机器人。培养学生正确的方法能力及社会能力，增强分析和解决实际问题的能力。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w:t>
            </w:r>
            <w:r>
              <w:rPr>
                <w:rFonts w:hint="eastAsia"/>
                <w:bCs/>
                <w:sz w:val="18"/>
                <w:szCs w:val="18"/>
              </w:rPr>
              <w:t>掌握</w:t>
            </w:r>
            <w:r>
              <w:rPr>
                <w:rFonts w:hint="eastAsia" w:asciiTheme="minorEastAsia" w:hAnsiTheme="minorEastAsia"/>
                <w:sz w:val="18"/>
                <w:szCs w:val="18"/>
              </w:rPr>
              <w:t>工业机器人控制系统的基本构成及操作方法，机器人系统的的基本程序语言和编程方法。 2.课程教学以线上线下相结合的方式进行，理论和实操相结合，鼓励学生自行学习练习，在做中学，在学中做。</w:t>
            </w:r>
          </w:p>
          <w:p>
            <w:pPr>
              <w:rPr>
                <w:rFonts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asciiTheme="minorEastAsia" w:hAnsiTheme="minorEastAsia"/>
                <w:sz w:val="18"/>
                <w:szCs w:val="18"/>
              </w:rPr>
              <w:t>40</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w:t>
            </w:r>
            <w:r>
              <w:rPr>
                <w:rFonts w:asciiTheme="minorEastAsia" w:hAnsiTheme="minorEastAsia"/>
                <w:sz w:val="18"/>
                <w:szCs w:val="18"/>
              </w:rPr>
              <w:t>40</w:t>
            </w:r>
            <w:r>
              <w:rPr>
                <w:rFonts w:hint="eastAsia" w:asciiTheme="minorEastAsia" w:hAnsi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8</w:t>
            </w:r>
          </w:p>
        </w:tc>
        <w:tc>
          <w:tcPr>
            <w:tcW w:w="1858"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自动化生产线技术（项目教学）</w:t>
            </w:r>
            <w:r>
              <w:rPr>
                <w:rFonts w:hint="eastAsia"/>
                <w:sz w:val="18"/>
                <w:szCs w:val="18"/>
              </w:rPr>
              <w:br w:type="textWrapping"/>
            </w:r>
          </w:p>
        </w:tc>
        <w:tc>
          <w:tcPr>
            <w:tcW w:w="592" w:type="dxa"/>
            <w:tcBorders>
              <w:top w:val="nil"/>
              <w:left w:val="single" w:color="auto" w:sz="4" w:space="0"/>
              <w:bottom w:val="single" w:color="auto" w:sz="4" w:space="0"/>
              <w:right w:val="single" w:color="auto" w:sz="4" w:space="0"/>
            </w:tcBorders>
            <w:shd w:val="clear" w:color="000000" w:fill="FFFFFF"/>
            <w:vAlign w:val="center"/>
          </w:tcPr>
          <w:p>
            <w:pPr>
              <w:rPr>
                <w:rFonts w:hint="default" w:asciiTheme="minorEastAsia" w:hAnsiTheme="minorEastAsia" w:eastAsiaTheme="minorEastAsia"/>
                <w:sz w:val="18"/>
                <w:szCs w:val="18"/>
                <w:lang w:val="en-US" w:eastAsia="zh-CN"/>
              </w:rPr>
            </w:pPr>
            <w:r>
              <w:rPr>
                <w:rFonts w:hint="eastAsia"/>
                <w:sz w:val="18"/>
                <w:szCs w:val="18"/>
                <w:lang w:val="en-US" w:eastAsia="zh-CN"/>
              </w:rPr>
              <w:t>3.5</w:t>
            </w:r>
          </w:p>
        </w:tc>
        <w:tc>
          <w:tcPr>
            <w:tcW w:w="1176" w:type="dxa"/>
            <w:tcBorders>
              <w:top w:val="nil"/>
              <w:left w:val="single" w:color="auto" w:sz="4" w:space="0"/>
              <w:bottom w:val="single" w:color="auto" w:sz="4" w:space="0"/>
              <w:right w:val="single" w:color="auto" w:sz="4" w:space="0"/>
            </w:tcBorders>
            <w:shd w:val="clear" w:color="000000" w:fill="FFFFFF"/>
            <w:vAlign w:val="center"/>
          </w:tcPr>
          <w:p>
            <w:pPr>
              <w:jc w:val="center"/>
              <w:rPr>
                <w:rFonts w:hint="default" w:asciiTheme="minorEastAsia" w:hAnsiTheme="minorEastAsia" w:eastAsiaTheme="minorEastAsia"/>
                <w:sz w:val="18"/>
                <w:szCs w:val="18"/>
                <w:lang w:val="en-US" w:eastAsia="zh-CN"/>
              </w:rPr>
            </w:pPr>
            <w:r>
              <w:rPr>
                <w:rFonts w:hint="eastAsia"/>
                <w:sz w:val="18"/>
                <w:szCs w:val="18"/>
                <w:lang w:val="en-US" w:eastAsia="zh-CN"/>
              </w:rPr>
              <w:t>68</w:t>
            </w:r>
          </w:p>
        </w:tc>
        <w:tc>
          <w:tcPr>
            <w:tcW w:w="2113" w:type="dxa"/>
            <w:vAlign w:val="center"/>
          </w:tcPr>
          <w:p>
            <w:pPr>
              <w:rPr>
                <w:sz w:val="18"/>
                <w:szCs w:val="18"/>
              </w:rPr>
            </w:pPr>
            <w:r>
              <w:rPr>
                <w:rFonts w:hint="eastAsia"/>
                <w:sz w:val="18"/>
                <w:szCs w:val="18"/>
              </w:rPr>
              <w:t>通过课程的学习使学生</w:t>
            </w:r>
            <w:r>
              <w:rPr>
                <w:sz w:val="18"/>
                <w:szCs w:val="18"/>
              </w:rPr>
              <w:t>掌握</w:t>
            </w:r>
            <w:r>
              <w:rPr>
                <w:rFonts w:hint="eastAsia"/>
                <w:sz w:val="18"/>
                <w:szCs w:val="18"/>
              </w:rPr>
              <w:t>进行简单气路、电路识图及布线；能正确分析自动生产线设备的工作原理、工作过程，同时培养学生正确的方法能力及社会能力，增强分析和解决实际问题的能力。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w:t>
            </w:r>
            <w:r>
              <w:rPr>
                <w:rFonts w:hint="eastAsia"/>
                <w:bCs/>
                <w:sz w:val="18"/>
                <w:szCs w:val="18"/>
              </w:rPr>
              <w:t>掌握</w:t>
            </w:r>
            <w:r>
              <w:rPr>
                <w:rFonts w:hint="eastAsia" w:asciiTheme="minorEastAsia" w:hAnsiTheme="minorEastAsia"/>
                <w:sz w:val="18"/>
                <w:szCs w:val="18"/>
              </w:rPr>
              <w:t>自动化生产线的安装和调试技能；学会自动化生产线运行过程的监控、故障检测和排除技能；具备自动化生产线维护和管理能力。 2.课程教学以线上线下相结合的方式进行，理论和实操相结合，鼓励学生自行学习练习，在做中学，在学中做。</w:t>
            </w:r>
          </w:p>
          <w:p>
            <w:pPr>
              <w:rPr>
                <w:rFonts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asciiTheme="minorEastAsia" w:hAnsiTheme="minorEastAsia"/>
                <w:sz w:val="18"/>
                <w:szCs w:val="18"/>
              </w:rPr>
              <w:t>32</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实践4</w:t>
            </w:r>
            <w:r>
              <w:rPr>
                <w:rFonts w:asciiTheme="minorEastAsia" w:hAnsiTheme="minorEastAsia"/>
                <w:sz w:val="18"/>
                <w:szCs w:val="18"/>
              </w:rPr>
              <w:t>0</w:t>
            </w:r>
            <w:r>
              <w:rPr>
                <w:rFonts w:hint="eastAsia" w:asciiTheme="minorEastAsia" w:hAnsi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576" w:type="dxa"/>
            <w:tcBorders>
              <w:bottom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9</w:t>
            </w:r>
          </w:p>
        </w:tc>
        <w:tc>
          <w:tcPr>
            <w:tcW w:w="1858" w:type="dxa"/>
            <w:tcBorders>
              <w:top w:val="nil"/>
              <w:left w:val="single" w:color="auto" w:sz="4" w:space="0"/>
              <w:bottom w:val="single" w:color="auto" w:sz="4" w:space="0"/>
              <w:right w:val="single" w:color="auto" w:sz="4" w:space="0"/>
            </w:tcBorders>
            <w:shd w:val="clear" w:color="000000" w:fill="FFFFFF"/>
            <w:vAlign w:val="center"/>
          </w:tcPr>
          <w:p>
            <w:pPr>
              <w:rPr>
                <w:rFonts w:hint="eastAsia"/>
                <w:sz w:val="18"/>
                <w:szCs w:val="18"/>
              </w:rPr>
            </w:pPr>
            <w:r>
              <w:rPr>
                <w:rFonts w:hint="eastAsia"/>
                <w:sz w:val="18"/>
                <w:szCs w:val="18"/>
              </w:rPr>
              <w:t>毕业综合实训和生产（顶岗）实习</w:t>
            </w:r>
          </w:p>
        </w:tc>
        <w:tc>
          <w:tcPr>
            <w:tcW w:w="592"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6"/>
                <w:szCs w:val="16"/>
              </w:rPr>
              <w:t xml:space="preserve">15.0 </w:t>
            </w:r>
          </w:p>
        </w:tc>
        <w:tc>
          <w:tcPr>
            <w:tcW w:w="1176" w:type="dxa"/>
            <w:tcBorders>
              <w:top w:val="nil"/>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sz w:val="18"/>
                <w:szCs w:val="18"/>
              </w:rPr>
            </w:pPr>
            <w:r>
              <w:rPr>
                <w:rFonts w:hint="eastAsia"/>
                <w:sz w:val="16"/>
                <w:szCs w:val="16"/>
              </w:rPr>
              <w:t>450</w:t>
            </w:r>
          </w:p>
        </w:tc>
        <w:tc>
          <w:tcPr>
            <w:tcW w:w="2113" w:type="dxa"/>
            <w:vAlign w:val="center"/>
          </w:tcPr>
          <w:p>
            <w:pPr>
              <w:rPr>
                <w:rFonts w:asciiTheme="minorEastAsia" w:hAnsiTheme="minorEastAsia"/>
                <w:sz w:val="18"/>
                <w:szCs w:val="18"/>
              </w:rPr>
            </w:pPr>
            <w:r>
              <w:rPr>
                <w:rFonts w:hint="eastAsia"/>
                <w:sz w:val="18"/>
                <w:szCs w:val="18"/>
              </w:rPr>
              <w:t>通过课程的学习使学生能够运用所学的专业知识进行产品设计，同时结合实习岗位解决问题，培养学生正确的方法能力及社会能力，增强分析和解决实际问题的能力。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w:t>
            </w:r>
            <w:r>
              <w:rPr>
                <w:rFonts w:hint="eastAsia"/>
                <w:bCs/>
                <w:sz w:val="18"/>
                <w:szCs w:val="18"/>
              </w:rPr>
              <w:t>运用所学专业知识设计实际产品</w:t>
            </w:r>
            <w:r>
              <w:rPr>
                <w:rFonts w:hint="eastAsia" w:asciiTheme="minorEastAsia" w:hAnsiTheme="minorEastAsia"/>
                <w:sz w:val="18"/>
                <w:szCs w:val="18"/>
              </w:rPr>
              <w:t>。 2.课程教学以线上线下相结合的方式进行，理论和实操相结合，鼓励学生自行学习练习，在做中学，在学中做。</w:t>
            </w:r>
          </w:p>
          <w:p>
            <w:pPr>
              <w:rPr>
                <w:rFonts w:asciiTheme="minorEastAsia" w:hAnsiTheme="minorEastAsia"/>
                <w:sz w:val="18"/>
                <w:szCs w:val="18"/>
              </w:rPr>
            </w:pPr>
            <w:r>
              <w:rPr>
                <w:rFonts w:hint="eastAsia" w:asciiTheme="minorEastAsia" w:hAnsiTheme="minorEastAsia"/>
                <w:sz w:val="18"/>
                <w:szCs w:val="18"/>
              </w:rPr>
              <w:t>3.课程考核方式为考查。</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纯实践课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576" w:type="dxa"/>
            <w:tcBorders>
              <w:top w:val="single" w:color="auto" w:sz="4" w:space="0"/>
              <w:bottom w:val="single" w:color="auto" w:sz="4" w:space="0"/>
            </w:tcBorders>
            <w:vAlign w:val="center"/>
          </w:tcPr>
          <w:p>
            <w:pPr>
              <w:jc w:val="center"/>
              <w:rPr>
                <w:rFonts w:hint="default" w:asciiTheme="minorEastAsia" w:hAnsiTheme="minorEastAsia" w:eastAsiaTheme="minorEastAsia"/>
                <w:sz w:val="18"/>
                <w:szCs w:val="18"/>
                <w:lang w:val="en-US" w:eastAsia="zh-CN"/>
              </w:rPr>
            </w:pPr>
            <w:bookmarkStart w:id="19" w:name="_Toc89793279"/>
            <w:r>
              <w:rPr>
                <w:rFonts w:hint="eastAsia" w:asciiTheme="minorEastAsia" w:hAnsiTheme="minorEastAsia"/>
                <w:sz w:val="18"/>
                <w:szCs w:val="18"/>
                <w:lang w:val="en-US" w:eastAsia="zh-CN"/>
              </w:rPr>
              <w:t>10</w:t>
            </w:r>
          </w:p>
        </w:tc>
        <w:tc>
          <w:tcPr>
            <w:tcW w:w="185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eastAsia"/>
                <w:sz w:val="18"/>
                <w:szCs w:val="18"/>
              </w:rPr>
            </w:pPr>
            <w:r>
              <w:rPr>
                <w:rFonts w:hint="eastAsia"/>
                <w:sz w:val="18"/>
                <w:szCs w:val="18"/>
              </w:rPr>
              <w:t>工业机器人技术综合实训</w:t>
            </w:r>
          </w:p>
        </w:tc>
        <w:tc>
          <w:tcPr>
            <w:tcW w:w="592"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default" w:eastAsiaTheme="minorEastAsia"/>
                <w:sz w:val="16"/>
                <w:szCs w:val="16"/>
                <w:lang w:val="en-US" w:eastAsia="zh-CN"/>
              </w:rPr>
            </w:pPr>
            <w:r>
              <w:rPr>
                <w:rFonts w:hint="eastAsia"/>
                <w:sz w:val="16"/>
                <w:szCs w:val="16"/>
                <w:lang w:val="en-US" w:eastAsia="zh-CN"/>
              </w:rPr>
              <w:t>1.0</w:t>
            </w:r>
          </w:p>
        </w:tc>
        <w:tc>
          <w:tcPr>
            <w:tcW w:w="117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sz w:val="16"/>
                <w:szCs w:val="16"/>
                <w:lang w:val="en-US" w:eastAsia="zh-CN"/>
              </w:rPr>
            </w:pPr>
            <w:r>
              <w:rPr>
                <w:rFonts w:hint="eastAsia"/>
                <w:sz w:val="16"/>
                <w:szCs w:val="16"/>
                <w:lang w:val="en-US" w:eastAsia="zh-CN"/>
              </w:rPr>
              <w:t>24</w:t>
            </w:r>
          </w:p>
        </w:tc>
        <w:tc>
          <w:tcPr>
            <w:tcW w:w="2113" w:type="dxa"/>
            <w:vAlign w:val="center"/>
          </w:tcPr>
          <w:p>
            <w:pPr>
              <w:rPr>
                <w:rFonts w:hint="eastAsia"/>
                <w:sz w:val="18"/>
                <w:szCs w:val="18"/>
              </w:rPr>
            </w:pPr>
            <w:r>
              <w:rPr>
                <w:rFonts w:hint="eastAsia"/>
                <w:sz w:val="18"/>
                <w:szCs w:val="18"/>
              </w:rPr>
              <w:t>通过课程的学习，使学生掌握典型的机器人结构、正确操作工业机器人。培养学生正确的方法能力及社会能力，增强分析和解决实际问题的能力。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w:t>
            </w:r>
            <w:r>
              <w:rPr>
                <w:rFonts w:hint="eastAsia"/>
                <w:bCs/>
                <w:sz w:val="18"/>
                <w:szCs w:val="18"/>
              </w:rPr>
              <w:t>掌握</w:t>
            </w:r>
            <w:r>
              <w:rPr>
                <w:rFonts w:hint="eastAsia" w:asciiTheme="minorEastAsia" w:hAnsiTheme="minorEastAsia"/>
                <w:sz w:val="18"/>
                <w:szCs w:val="18"/>
              </w:rPr>
              <w:t>工业机器人控制系统的基本构成及操作方法，机器人系统的的基本程序语言和编程方法。 2.课程教学以线上线下相结合的方式进行，理论和实操相结合，鼓励学生自行学习练习，在做中学，在学中做。</w:t>
            </w:r>
          </w:p>
          <w:p>
            <w:pPr>
              <w:rPr>
                <w:rFonts w:hint="eastAsia" w:asciiTheme="minorEastAsia" w:hAnsiTheme="minorEastAsia"/>
                <w:sz w:val="18"/>
                <w:szCs w:val="18"/>
              </w:rPr>
            </w:pPr>
            <w:r>
              <w:rPr>
                <w:rFonts w:hint="eastAsia" w:asciiTheme="minorEastAsia" w:hAnsiTheme="minorEastAsia"/>
                <w:sz w:val="18"/>
                <w:szCs w:val="18"/>
              </w:rPr>
              <w:t>3.课程考核方式为考</w:t>
            </w:r>
            <w:r>
              <w:rPr>
                <w:rFonts w:hint="eastAsia" w:asciiTheme="minorEastAsia" w:hAnsiTheme="minorEastAsia"/>
                <w:sz w:val="18"/>
                <w:szCs w:val="18"/>
                <w:lang w:eastAsia="zh-CN"/>
              </w:rPr>
              <w:t>查</w:t>
            </w:r>
            <w:r>
              <w:rPr>
                <w:rFonts w:hint="eastAsia" w:asciiTheme="minorEastAsia" w:hAnsiTheme="minorEastAsia"/>
                <w:sz w:val="18"/>
                <w:szCs w:val="18"/>
              </w:rPr>
              <w:t>。</w:t>
            </w:r>
          </w:p>
        </w:tc>
        <w:tc>
          <w:tcPr>
            <w:tcW w:w="580" w:type="dxa"/>
            <w:vAlign w:val="center"/>
          </w:tcPr>
          <w:p>
            <w:pPr>
              <w:rPr>
                <w:rFonts w:hint="eastAsia" w:asciiTheme="minorEastAsia" w:hAnsiTheme="minorEastAsia" w:eastAsiaTheme="minorEastAsia"/>
                <w:sz w:val="18"/>
                <w:szCs w:val="18"/>
                <w:lang w:eastAsia="zh-CN"/>
              </w:rPr>
            </w:pPr>
            <w:r>
              <w:rPr>
                <w:rFonts w:hint="eastAsia" w:asciiTheme="minorEastAsia" w:hAnsiTheme="minorEastAsia"/>
                <w:sz w:val="18"/>
                <w:szCs w:val="18"/>
                <w:lang w:eastAsia="zh-CN"/>
              </w:rPr>
              <w:t>纯实操课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576" w:type="dxa"/>
            <w:tcBorders>
              <w:top w:val="single" w:color="auto" w:sz="4" w:space="0"/>
            </w:tcBorders>
            <w:vAlign w:val="center"/>
          </w:tcPr>
          <w:p>
            <w:pPr>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11</w:t>
            </w:r>
          </w:p>
        </w:tc>
        <w:tc>
          <w:tcPr>
            <w:tcW w:w="185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eastAsia"/>
                <w:sz w:val="16"/>
                <w:szCs w:val="16"/>
              </w:rPr>
            </w:pPr>
            <w:r>
              <w:rPr>
                <w:rFonts w:hint="eastAsia"/>
                <w:sz w:val="18"/>
                <w:szCs w:val="18"/>
              </w:rPr>
              <w:t>自动化生产线技术综合实训</w:t>
            </w:r>
          </w:p>
        </w:tc>
        <w:tc>
          <w:tcPr>
            <w:tcW w:w="592"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eastAsia"/>
                <w:sz w:val="18"/>
                <w:szCs w:val="18"/>
              </w:rPr>
            </w:pPr>
            <w:r>
              <w:rPr>
                <w:rFonts w:hint="eastAsia"/>
                <w:sz w:val="18"/>
                <w:szCs w:val="18"/>
                <w:lang w:val="en-US" w:eastAsia="zh-CN"/>
              </w:rPr>
              <w:t>1.0</w:t>
            </w:r>
          </w:p>
        </w:tc>
        <w:tc>
          <w:tcPr>
            <w:tcW w:w="1176"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eastAsia"/>
                <w:sz w:val="18"/>
                <w:szCs w:val="18"/>
              </w:rPr>
            </w:pPr>
            <w:r>
              <w:rPr>
                <w:rFonts w:hint="eastAsia"/>
                <w:sz w:val="18"/>
                <w:szCs w:val="18"/>
                <w:lang w:val="en-US" w:eastAsia="zh-CN"/>
              </w:rPr>
              <w:t>24</w:t>
            </w:r>
          </w:p>
        </w:tc>
        <w:tc>
          <w:tcPr>
            <w:tcW w:w="2113" w:type="dxa"/>
            <w:vAlign w:val="center"/>
          </w:tcPr>
          <w:p>
            <w:pPr>
              <w:rPr>
                <w:rFonts w:hint="eastAsia"/>
                <w:sz w:val="18"/>
                <w:szCs w:val="18"/>
              </w:rPr>
            </w:pPr>
            <w:r>
              <w:rPr>
                <w:rFonts w:hint="eastAsia"/>
                <w:sz w:val="18"/>
                <w:szCs w:val="18"/>
              </w:rPr>
              <w:t>通过课程的学习使学生</w:t>
            </w:r>
            <w:r>
              <w:rPr>
                <w:sz w:val="18"/>
                <w:szCs w:val="18"/>
              </w:rPr>
              <w:t>掌握</w:t>
            </w:r>
            <w:r>
              <w:rPr>
                <w:rFonts w:hint="eastAsia"/>
                <w:sz w:val="18"/>
                <w:szCs w:val="18"/>
              </w:rPr>
              <w:t>进行简单气路、电路识图及布线；能正确分析自动生产线设备的工作原理、工作过程，同时培养学生正确的方法能力及社会能力，增强分析和解决实际问题的能力。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w:t>
            </w:r>
            <w:r>
              <w:rPr>
                <w:rFonts w:hint="eastAsia"/>
                <w:bCs/>
                <w:sz w:val="18"/>
                <w:szCs w:val="18"/>
              </w:rPr>
              <w:t>掌握</w:t>
            </w:r>
            <w:r>
              <w:rPr>
                <w:rFonts w:hint="eastAsia" w:asciiTheme="minorEastAsia" w:hAnsiTheme="minorEastAsia"/>
                <w:sz w:val="18"/>
                <w:szCs w:val="18"/>
              </w:rPr>
              <w:t>自动化生产线的安装和调试技能；学会自动化生产线运行过程的监控、故障检测和排除技能；具备自动化生产线维护和管理能力。 2.课程教学以线上线下相结合的方式进行，理论和实操相结合，鼓励学生自行学习练习，在做中学，在学中做。</w:t>
            </w:r>
          </w:p>
          <w:p>
            <w:pPr>
              <w:rPr>
                <w:rFonts w:hint="eastAsia" w:asciiTheme="minorEastAsia" w:hAnsiTheme="minorEastAsia"/>
                <w:sz w:val="18"/>
                <w:szCs w:val="18"/>
              </w:rPr>
            </w:pPr>
            <w:r>
              <w:rPr>
                <w:rFonts w:hint="eastAsia" w:asciiTheme="minorEastAsia" w:hAnsiTheme="minorEastAsia"/>
                <w:sz w:val="18"/>
                <w:szCs w:val="18"/>
              </w:rPr>
              <w:t>3.课程考核方式为</w:t>
            </w:r>
            <w:r>
              <w:rPr>
                <w:rFonts w:hint="eastAsia" w:asciiTheme="minorEastAsia" w:hAnsiTheme="minorEastAsia"/>
                <w:sz w:val="18"/>
                <w:szCs w:val="18"/>
                <w:lang w:eastAsia="zh-CN"/>
              </w:rPr>
              <w:t>考查</w:t>
            </w:r>
            <w:r>
              <w:rPr>
                <w:rFonts w:hint="eastAsia" w:asciiTheme="minorEastAsia" w:hAnsiTheme="minorEastAsia"/>
                <w:sz w:val="18"/>
                <w:szCs w:val="18"/>
              </w:rPr>
              <w:t>。</w:t>
            </w:r>
          </w:p>
        </w:tc>
        <w:tc>
          <w:tcPr>
            <w:tcW w:w="580" w:type="dxa"/>
            <w:vAlign w:val="center"/>
          </w:tcPr>
          <w:p>
            <w:pPr>
              <w:rPr>
                <w:rFonts w:hint="eastAsia" w:asciiTheme="minorEastAsia" w:hAnsiTheme="minorEastAsia"/>
                <w:sz w:val="18"/>
                <w:szCs w:val="18"/>
              </w:rPr>
            </w:pPr>
            <w:r>
              <w:rPr>
                <w:rFonts w:hint="eastAsia" w:asciiTheme="minorEastAsia" w:hAnsiTheme="minorEastAsia"/>
                <w:sz w:val="18"/>
                <w:szCs w:val="18"/>
                <w:lang w:eastAsia="zh-CN"/>
              </w:rPr>
              <w:t>纯实操课</w:t>
            </w:r>
          </w:p>
        </w:tc>
      </w:tr>
    </w:tbl>
    <w:p>
      <w:pPr>
        <w:pStyle w:val="2"/>
        <w:spacing w:before="234" w:after="234"/>
        <w:ind w:left="420"/>
      </w:pPr>
      <w:r>
        <w:rPr>
          <w:rFonts w:hint="eastAsia"/>
        </w:rPr>
        <w:t>3.专业拓展课</w:t>
      </w:r>
      <w:bookmarkEnd w:id="19"/>
    </w:p>
    <w:p>
      <w:pPr>
        <w:ind w:firstLine="420" w:firstLineChars="200"/>
      </w:pPr>
      <w:r>
        <w:rPr>
          <w:rFonts w:hint="eastAsia"/>
        </w:rPr>
        <w:t>本专业开设的专业拓展课见表7。</w:t>
      </w:r>
    </w:p>
    <w:p>
      <w:pPr>
        <w:jc w:val="center"/>
      </w:pPr>
      <w:r>
        <w:rPr>
          <w:rFonts w:hint="eastAsia"/>
        </w:rPr>
        <w:t>表7</w:t>
      </w:r>
      <w:r>
        <w:t xml:space="preserve"> </w:t>
      </w:r>
      <w:r>
        <w:rPr>
          <w:rFonts w:hint="eastAsia"/>
        </w:rPr>
        <w:t>专业拓展课</w:t>
      </w:r>
    </w:p>
    <w:tbl>
      <w:tblPr>
        <w:tblStyle w:val="15"/>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858"/>
        <w:gridCol w:w="592"/>
        <w:gridCol w:w="1176"/>
        <w:gridCol w:w="2113"/>
        <w:gridCol w:w="2002"/>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序号</w:t>
            </w:r>
          </w:p>
        </w:tc>
        <w:tc>
          <w:tcPr>
            <w:tcW w:w="1858" w:type="dxa"/>
            <w:vAlign w:val="center"/>
          </w:tcPr>
          <w:p>
            <w:pPr>
              <w:jc w:val="center"/>
              <w:rPr>
                <w:rFonts w:asciiTheme="minorEastAsia" w:hAnsiTheme="minorEastAsia"/>
                <w:sz w:val="18"/>
                <w:szCs w:val="18"/>
              </w:rPr>
            </w:pPr>
            <w:r>
              <w:rPr>
                <w:rFonts w:hint="eastAsia" w:asciiTheme="minorEastAsia" w:hAnsiTheme="minorEastAsia"/>
                <w:sz w:val="18"/>
                <w:szCs w:val="18"/>
              </w:rPr>
              <w:t>课程名称</w:t>
            </w:r>
          </w:p>
        </w:tc>
        <w:tc>
          <w:tcPr>
            <w:tcW w:w="592" w:type="dxa"/>
            <w:vAlign w:val="center"/>
          </w:tcPr>
          <w:p>
            <w:pPr>
              <w:jc w:val="center"/>
              <w:rPr>
                <w:rFonts w:asciiTheme="minorEastAsia" w:hAnsiTheme="minorEastAsia"/>
                <w:sz w:val="18"/>
                <w:szCs w:val="18"/>
              </w:rPr>
            </w:pPr>
            <w:r>
              <w:rPr>
                <w:rFonts w:hint="eastAsia" w:asciiTheme="minorEastAsia" w:hAnsiTheme="minorEastAsia"/>
                <w:sz w:val="18"/>
                <w:szCs w:val="18"/>
              </w:rPr>
              <w:t>学分</w:t>
            </w:r>
          </w:p>
        </w:tc>
        <w:tc>
          <w:tcPr>
            <w:tcW w:w="1176" w:type="dxa"/>
            <w:vAlign w:val="center"/>
          </w:tcPr>
          <w:p>
            <w:pPr>
              <w:jc w:val="center"/>
              <w:rPr>
                <w:rFonts w:asciiTheme="minorEastAsia" w:hAnsiTheme="minorEastAsia"/>
                <w:sz w:val="18"/>
                <w:szCs w:val="18"/>
              </w:rPr>
            </w:pPr>
            <w:r>
              <w:rPr>
                <w:rFonts w:hint="eastAsia" w:asciiTheme="minorEastAsia" w:hAnsiTheme="minorEastAsia"/>
                <w:sz w:val="18"/>
                <w:szCs w:val="18"/>
              </w:rPr>
              <w:t>学时</w:t>
            </w:r>
          </w:p>
        </w:tc>
        <w:tc>
          <w:tcPr>
            <w:tcW w:w="2113" w:type="dxa"/>
            <w:vAlign w:val="center"/>
          </w:tcPr>
          <w:p>
            <w:pPr>
              <w:jc w:val="center"/>
              <w:rPr>
                <w:rFonts w:asciiTheme="minorEastAsia" w:hAnsiTheme="minorEastAsia"/>
                <w:sz w:val="18"/>
                <w:szCs w:val="18"/>
              </w:rPr>
            </w:pPr>
            <w:r>
              <w:rPr>
                <w:rFonts w:hint="eastAsia" w:asciiTheme="minorEastAsia" w:hAnsiTheme="minorEastAsia"/>
                <w:sz w:val="18"/>
                <w:szCs w:val="18"/>
              </w:rPr>
              <w:t>课程目标</w:t>
            </w:r>
          </w:p>
        </w:tc>
        <w:tc>
          <w:tcPr>
            <w:tcW w:w="2002" w:type="dxa"/>
            <w:vAlign w:val="center"/>
          </w:tcPr>
          <w:p>
            <w:pPr>
              <w:jc w:val="center"/>
              <w:rPr>
                <w:rFonts w:asciiTheme="minorEastAsia" w:hAnsiTheme="minorEastAsia"/>
                <w:sz w:val="18"/>
                <w:szCs w:val="18"/>
              </w:rPr>
            </w:pPr>
            <w:r>
              <w:rPr>
                <w:rFonts w:hint="eastAsia" w:asciiTheme="minorEastAsia" w:hAnsiTheme="minorEastAsia"/>
                <w:sz w:val="18"/>
                <w:szCs w:val="18"/>
              </w:rPr>
              <w:t>主要内容和教学要求</w:t>
            </w:r>
          </w:p>
        </w:tc>
        <w:tc>
          <w:tcPr>
            <w:tcW w:w="580" w:type="dxa"/>
            <w:vAlign w:val="center"/>
          </w:tcPr>
          <w:p>
            <w:pPr>
              <w:jc w:val="center"/>
              <w:rPr>
                <w:rFonts w:asciiTheme="minorEastAsia" w:hAnsiTheme="minorEastAsia"/>
                <w:sz w:val="18"/>
                <w:szCs w:val="18"/>
              </w:rPr>
            </w:pPr>
            <w:r>
              <w:rPr>
                <w:rFonts w:hint="eastAsia" w:asciiTheme="minorEastAsia" w:hAnsi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185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嵌入式系统应用技术</w:t>
            </w:r>
          </w:p>
        </w:tc>
        <w:tc>
          <w:tcPr>
            <w:tcW w:w="592"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2.5</w:t>
            </w:r>
          </w:p>
        </w:tc>
        <w:tc>
          <w:tcPr>
            <w:tcW w:w="117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sz w:val="18"/>
                <w:szCs w:val="18"/>
              </w:rPr>
            </w:pPr>
            <w:r>
              <w:rPr>
                <w:rFonts w:hint="eastAsia"/>
                <w:sz w:val="18"/>
                <w:szCs w:val="18"/>
              </w:rPr>
              <w:t>48</w:t>
            </w:r>
          </w:p>
        </w:tc>
        <w:tc>
          <w:tcPr>
            <w:tcW w:w="2113" w:type="dxa"/>
            <w:vAlign w:val="center"/>
          </w:tcPr>
          <w:p>
            <w:pPr>
              <w:rPr>
                <w:rFonts w:asciiTheme="minorEastAsia" w:hAnsiTheme="minorEastAsia"/>
                <w:sz w:val="18"/>
                <w:szCs w:val="18"/>
              </w:rPr>
            </w:pPr>
            <w:r>
              <w:rPr>
                <w:rFonts w:hint="eastAsia"/>
                <w:sz w:val="18"/>
                <w:szCs w:val="18"/>
              </w:rPr>
              <w:t>通过课程的学习使学生了解嵌入式系统的基础知识，掌握在ARM Cortex STM32F4教学开发平台上应用MDK5的开发环境进行相关的工程开发，同时培养学生正确的方法能力及社会能力，增强分析和解决实际问题的能力。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1.课程的教学内容掌握应用I/O端口、中断和定时器、AD/DA、串行通信、LCD控制器等的关键技术。 2.课程教学以线上线下相结合的方式进行，理论和实操相结合，鼓励学生自行学习练习，在做中学，在学中做。</w:t>
            </w:r>
          </w:p>
          <w:p>
            <w:pPr>
              <w:rPr>
                <w:rFonts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asciiTheme="minorEastAsia" w:hAnsiTheme="minorEastAsia"/>
                <w:sz w:val="18"/>
                <w:szCs w:val="18"/>
              </w:rPr>
              <w:t>24</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w:t>
            </w:r>
            <w:r>
              <w:rPr>
                <w:rFonts w:asciiTheme="minorEastAsia" w:hAnsiTheme="minorEastAsia"/>
                <w:sz w:val="18"/>
                <w:szCs w:val="18"/>
              </w:rPr>
              <w:t>24</w:t>
            </w:r>
            <w:r>
              <w:rPr>
                <w:rFonts w:hint="eastAsia" w:asciiTheme="minorEastAsia" w:hAnsi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1858"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asciiTheme="minorEastAsia" w:hAnsiTheme="minorEastAsia"/>
                <w:sz w:val="18"/>
                <w:szCs w:val="18"/>
              </w:rPr>
              <w:t>公文写作</w:t>
            </w:r>
          </w:p>
        </w:tc>
        <w:tc>
          <w:tcPr>
            <w:tcW w:w="592"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6"/>
                <w:szCs w:val="16"/>
              </w:rPr>
              <w:t>2</w:t>
            </w:r>
          </w:p>
        </w:tc>
        <w:tc>
          <w:tcPr>
            <w:tcW w:w="1176" w:type="dxa"/>
            <w:tcBorders>
              <w:top w:val="nil"/>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sz w:val="18"/>
                <w:szCs w:val="18"/>
              </w:rPr>
            </w:pPr>
            <w:r>
              <w:rPr>
                <w:rFonts w:hint="eastAsia"/>
                <w:sz w:val="16"/>
                <w:szCs w:val="16"/>
              </w:rPr>
              <w:t>36</w:t>
            </w:r>
          </w:p>
        </w:tc>
        <w:tc>
          <w:tcPr>
            <w:tcW w:w="2113" w:type="dxa"/>
            <w:vAlign w:val="center"/>
          </w:tcPr>
          <w:p>
            <w:pPr>
              <w:rPr>
                <w:sz w:val="18"/>
                <w:szCs w:val="18"/>
              </w:rPr>
            </w:pPr>
            <w:r>
              <w:rPr>
                <w:rFonts w:hint="eastAsia" w:asciiTheme="minorEastAsia" w:hAnsiTheme="minorEastAsia"/>
                <w:sz w:val="18"/>
                <w:szCs w:val="18"/>
              </w:rPr>
              <w:t>通过本课程的学习，使学生掌握公文写作的基本技能，了解公文的种类、体式稿本、行为规范、写作要求，培养和提高撰写公文和处理公文的能力，毕业后有较强的公文写作能力。</w:t>
            </w:r>
          </w:p>
        </w:tc>
        <w:tc>
          <w:tcPr>
            <w:tcW w:w="2002" w:type="dxa"/>
            <w:vAlign w:val="center"/>
          </w:tcPr>
          <w:p>
            <w:pPr>
              <w:rPr>
                <w:rFonts w:asciiTheme="minorEastAsia" w:hAnsiTheme="minorEastAsia"/>
                <w:sz w:val="18"/>
                <w:szCs w:val="18"/>
              </w:rPr>
            </w:pPr>
            <w:r>
              <w:rPr>
                <w:rFonts w:hint="eastAsia" w:asciiTheme="minorEastAsia" w:hAnsiTheme="minorEastAsia"/>
                <w:sz w:val="18"/>
                <w:szCs w:val="18"/>
              </w:rPr>
              <w:t>1.本课程主要内容：公文、公文写作、公文的体式与稿本、公文的行为规范、公文写作等。</w:t>
            </w:r>
          </w:p>
          <w:p>
            <w:pPr>
              <w:rPr>
                <w:rFonts w:asciiTheme="minorEastAsia" w:hAnsiTheme="minorEastAsia"/>
                <w:sz w:val="18"/>
                <w:szCs w:val="18"/>
              </w:rPr>
            </w:pPr>
            <w:r>
              <w:rPr>
                <w:rFonts w:hint="eastAsia" w:asciiTheme="minorEastAsia" w:hAnsiTheme="minorEastAsia"/>
                <w:sz w:val="18"/>
                <w:szCs w:val="18"/>
              </w:rPr>
              <w:t>2.课程采用理论教学的方式。</w:t>
            </w:r>
          </w:p>
          <w:p>
            <w:pPr>
              <w:rPr>
                <w:rFonts w:asciiTheme="minorEastAsia" w:hAnsiTheme="minorEastAsia"/>
                <w:sz w:val="18"/>
                <w:szCs w:val="18"/>
              </w:rPr>
            </w:pPr>
            <w:r>
              <w:rPr>
                <w:rFonts w:hint="eastAsia" w:asciiTheme="minorEastAsia" w:hAnsiTheme="minorEastAsia"/>
                <w:sz w:val="18"/>
                <w:szCs w:val="18"/>
              </w:rPr>
              <w:t>3.课程考核方式为考查。</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asciiTheme="minorEastAsia" w:hAnsiTheme="minorEastAsia"/>
                <w:sz w:val="18"/>
                <w:szCs w:val="18"/>
              </w:rPr>
              <w:t>22</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w:t>
            </w:r>
            <w:r>
              <w:rPr>
                <w:rFonts w:asciiTheme="minorEastAsia" w:hAnsiTheme="minorEastAsia"/>
                <w:sz w:val="18"/>
                <w:szCs w:val="18"/>
              </w:rPr>
              <w:t>14</w:t>
            </w:r>
            <w:r>
              <w:rPr>
                <w:rFonts w:hint="eastAsia" w:asciiTheme="minorEastAsia" w:hAnsi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1858"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工业网络控制技术</w:t>
            </w:r>
          </w:p>
        </w:tc>
        <w:tc>
          <w:tcPr>
            <w:tcW w:w="592" w:type="dxa"/>
            <w:tcBorders>
              <w:top w:val="nil"/>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8"/>
                <w:szCs w:val="18"/>
              </w:rPr>
              <w:t>3.0</w:t>
            </w:r>
          </w:p>
        </w:tc>
        <w:tc>
          <w:tcPr>
            <w:tcW w:w="1176" w:type="dxa"/>
            <w:tcBorders>
              <w:top w:val="nil"/>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sz w:val="18"/>
                <w:szCs w:val="18"/>
              </w:rPr>
            </w:pPr>
            <w:r>
              <w:rPr>
                <w:rFonts w:hint="eastAsia"/>
                <w:sz w:val="18"/>
                <w:szCs w:val="18"/>
              </w:rPr>
              <w:t>52</w:t>
            </w:r>
          </w:p>
        </w:tc>
        <w:tc>
          <w:tcPr>
            <w:tcW w:w="2113" w:type="dxa"/>
            <w:tcBorders>
              <w:bottom w:val="single" w:color="auto" w:sz="4" w:space="0"/>
            </w:tcBorders>
            <w:vAlign w:val="center"/>
          </w:tcPr>
          <w:p>
            <w:pPr>
              <w:rPr>
                <w:rFonts w:asciiTheme="minorEastAsia" w:hAnsiTheme="minorEastAsia"/>
                <w:sz w:val="18"/>
                <w:szCs w:val="18"/>
              </w:rPr>
            </w:pPr>
            <w:r>
              <w:rPr>
                <w:rFonts w:hint="eastAsia"/>
                <w:sz w:val="18"/>
                <w:szCs w:val="18"/>
              </w:rPr>
              <w:t>通过课程的学习使学生掌握工业网络的基本原理和设计，</w:t>
            </w:r>
            <w:r>
              <w:rPr>
                <w:sz w:val="18"/>
                <w:szCs w:val="18"/>
              </w:rPr>
              <w:t>同时</w:t>
            </w:r>
            <w:r>
              <w:rPr>
                <w:rFonts w:hint="eastAsia"/>
                <w:sz w:val="18"/>
                <w:szCs w:val="18"/>
              </w:rPr>
              <w:t>培养</w:t>
            </w:r>
            <w:r>
              <w:rPr>
                <w:sz w:val="18"/>
                <w:szCs w:val="18"/>
              </w:rPr>
              <w:t>学生</w:t>
            </w:r>
            <w:r>
              <w:rPr>
                <w:rFonts w:hint="eastAsia"/>
                <w:sz w:val="18"/>
                <w:szCs w:val="18"/>
              </w:rPr>
              <w:t>发现</w:t>
            </w:r>
            <w:r>
              <w:rPr>
                <w:sz w:val="18"/>
                <w:szCs w:val="18"/>
              </w:rPr>
              <w:t>问题、分析问题和解决问题的能力，培养学生整体思维</w:t>
            </w:r>
            <w:r>
              <w:rPr>
                <w:rFonts w:hint="eastAsia"/>
                <w:sz w:val="18"/>
                <w:szCs w:val="18"/>
              </w:rPr>
              <w:t>、</w:t>
            </w:r>
            <w:r>
              <w:rPr>
                <w:sz w:val="18"/>
                <w:szCs w:val="18"/>
              </w:rPr>
              <w:t>融会贯通、学会学习的能力</w:t>
            </w:r>
            <w:r>
              <w:rPr>
                <w:rFonts w:hint="eastAsia"/>
                <w:sz w:val="18"/>
                <w:szCs w:val="18"/>
              </w:rPr>
              <w:t>。</w:t>
            </w:r>
          </w:p>
        </w:tc>
        <w:tc>
          <w:tcPr>
            <w:tcW w:w="2002" w:type="dxa"/>
            <w:vAlign w:val="center"/>
          </w:tcPr>
          <w:p>
            <w:pPr>
              <w:rPr>
                <w:sz w:val="18"/>
                <w:szCs w:val="18"/>
              </w:rPr>
            </w:pPr>
            <w:r>
              <w:rPr>
                <w:rFonts w:hint="eastAsia" w:asciiTheme="minorEastAsia" w:hAnsiTheme="minorEastAsia"/>
                <w:sz w:val="18"/>
                <w:szCs w:val="18"/>
              </w:rPr>
              <w:t>1.</w:t>
            </w:r>
            <w:r>
              <w:rPr>
                <w:rFonts w:hint="eastAsia"/>
                <w:sz w:val="18"/>
                <w:szCs w:val="18"/>
              </w:rPr>
              <w:t>课程的教学内容工业网路基本原理、应用等。2.课程教学以线上线下相结合的方式进行，理论和实操相结合，鼓励学生自行学习练习，在做中学，在学中做。</w:t>
            </w:r>
          </w:p>
          <w:p>
            <w:pPr>
              <w:rPr>
                <w:rFonts w:asciiTheme="minorEastAsia" w:hAnsiTheme="minorEastAsia"/>
                <w:sz w:val="18"/>
                <w:szCs w:val="18"/>
              </w:rPr>
            </w:pPr>
            <w:r>
              <w:rPr>
                <w:rFonts w:hint="eastAsia"/>
                <w:sz w:val="18"/>
                <w:szCs w:val="18"/>
              </w:rPr>
              <w:t>3.课程考核方式为考查。</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asciiTheme="minorEastAsia" w:hAnsiTheme="minorEastAsia"/>
                <w:sz w:val="18"/>
                <w:szCs w:val="18"/>
              </w:rPr>
              <w:t>30</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w:t>
            </w:r>
            <w:r>
              <w:rPr>
                <w:rFonts w:asciiTheme="minorEastAsia" w:hAnsiTheme="minorEastAsia"/>
                <w:sz w:val="18"/>
                <w:szCs w:val="18"/>
              </w:rPr>
              <w:t>22</w:t>
            </w:r>
            <w:r>
              <w:rPr>
                <w:rFonts w:hint="eastAsia" w:asciiTheme="minorEastAsia" w:hAnsi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4</w:t>
            </w:r>
          </w:p>
        </w:tc>
        <w:tc>
          <w:tcPr>
            <w:tcW w:w="185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asciiTheme="minorEastAsia" w:hAnsiTheme="minorEastAsia"/>
                <w:sz w:val="18"/>
                <w:szCs w:val="18"/>
              </w:rPr>
              <w:t>数字孪生技术</w:t>
            </w:r>
          </w:p>
        </w:tc>
        <w:tc>
          <w:tcPr>
            <w:tcW w:w="592"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Theme="minorEastAsia" w:hAnsiTheme="minorEastAsia"/>
                <w:sz w:val="18"/>
                <w:szCs w:val="18"/>
              </w:rPr>
            </w:pPr>
            <w:r>
              <w:rPr>
                <w:rFonts w:hint="eastAsia"/>
                <w:sz w:val="16"/>
                <w:szCs w:val="16"/>
              </w:rPr>
              <w:t>3</w:t>
            </w:r>
          </w:p>
        </w:tc>
        <w:tc>
          <w:tcPr>
            <w:tcW w:w="117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Theme="minorEastAsia" w:hAnsiTheme="minorEastAsia" w:eastAsiaTheme="minorEastAsia"/>
                <w:sz w:val="18"/>
                <w:szCs w:val="18"/>
                <w:lang w:val="en-US" w:eastAsia="zh-CN"/>
              </w:rPr>
            </w:pPr>
            <w:r>
              <w:rPr>
                <w:rFonts w:hint="eastAsia"/>
                <w:sz w:val="16"/>
                <w:szCs w:val="16"/>
                <w:lang w:val="en-US" w:eastAsia="zh-CN"/>
              </w:rPr>
              <w:t>60</w:t>
            </w:r>
          </w:p>
        </w:tc>
        <w:tc>
          <w:tcPr>
            <w:tcW w:w="2113" w:type="dxa"/>
            <w:tcBorders>
              <w:top w:val="single" w:color="auto" w:sz="4" w:space="0"/>
              <w:left w:val="single" w:color="auto" w:sz="4" w:space="0"/>
              <w:bottom w:val="single" w:color="auto" w:sz="4" w:space="0"/>
            </w:tcBorders>
            <w:vAlign w:val="center"/>
          </w:tcPr>
          <w:p>
            <w:pPr>
              <w:rPr>
                <w:rFonts w:asciiTheme="minorEastAsia" w:hAnsiTheme="minorEastAsia"/>
                <w:sz w:val="18"/>
                <w:szCs w:val="18"/>
              </w:rPr>
            </w:pPr>
            <w:r>
              <w:rPr>
                <w:rFonts w:hint="eastAsia" w:asciiTheme="minorEastAsia" w:hAnsiTheme="minorEastAsia"/>
                <w:sz w:val="18"/>
                <w:szCs w:val="18"/>
              </w:rPr>
              <w:t>通过本课程的学习，使学生掌握采用工业仿真软件实现虚拟和现实的交互技术。能对包含多物理场以及通常存在于机电一体化产品中的自动化相关行为的概念进行3D建模和仿真。培养学生的创新设计理念和设计能力。</w:t>
            </w:r>
          </w:p>
        </w:tc>
        <w:tc>
          <w:tcPr>
            <w:tcW w:w="2002" w:type="dxa"/>
            <w:vAlign w:val="center"/>
          </w:tcPr>
          <w:p>
            <w:pPr>
              <w:ind w:left="180" w:hanging="180" w:hangingChars="100"/>
              <w:rPr>
                <w:rFonts w:asciiTheme="minorEastAsia" w:hAnsiTheme="minorEastAsia"/>
                <w:sz w:val="18"/>
                <w:szCs w:val="18"/>
              </w:rPr>
            </w:pPr>
            <w:r>
              <w:rPr>
                <w:rFonts w:hint="eastAsia" w:asciiTheme="minorEastAsia" w:hAnsiTheme="minorEastAsia"/>
                <w:sz w:val="18"/>
                <w:szCs w:val="18"/>
              </w:rPr>
              <w:t xml:space="preserve">1.本课程主要内容：UG NX12.0的机电概念设计（MCD）软件平台认识与实践；机电设备控制系统MCD应用实例； </w:t>
            </w:r>
          </w:p>
          <w:p>
            <w:pPr>
              <w:rPr>
                <w:rFonts w:asciiTheme="minorEastAsia" w:hAnsiTheme="minorEastAsia"/>
                <w:sz w:val="18"/>
                <w:szCs w:val="18"/>
              </w:rPr>
            </w:pPr>
            <w:r>
              <w:rPr>
                <w:rFonts w:hint="eastAsia" w:asciiTheme="minorEastAsia" w:hAnsiTheme="minorEastAsia"/>
                <w:sz w:val="18"/>
                <w:szCs w:val="18"/>
              </w:rPr>
              <w:t>2.课程采用理论与实验交叉教学的方式，在掌握理论的基础上，训练学生的应用能力。</w:t>
            </w:r>
          </w:p>
          <w:p>
            <w:pPr>
              <w:rPr>
                <w:rFonts w:asciiTheme="minorEastAsia" w:hAnsiTheme="minorEastAsia"/>
                <w:sz w:val="18"/>
                <w:szCs w:val="18"/>
              </w:rPr>
            </w:pPr>
            <w:r>
              <w:rPr>
                <w:rFonts w:hint="eastAsia" w:asciiTheme="minorEastAsia" w:hAnsiTheme="minorEastAsia"/>
                <w:sz w:val="18"/>
                <w:szCs w:val="18"/>
              </w:rPr>
              <w:t>3.课程考核方式为考查。</w:t>
            </w:r>
          </w:p>
        </w:tc>
        <w:tc>
          <w:tcPr>
            <w:tcW w:w="580" w:type="dxa"/>
            <w:vAlign w:val="center"/>
          </w:tcPr>
          <w:p>
            <w:pPr>
              <w:rPr>
                <w:rFonts w:asciiTheme="minorEastAsia" w:hAnsiTheme="minorEastAsia"/>
                <w:sz w:val="18"/>
                <w:szCs w:val="18"/>
              </w:rPr>
            </w:pPr>
            <w:r>
              <w:rPr>
                <w:rFonts w:hint="eastAsia" w:asciiTheme="minorEastAsia" w:hAnsiTheme="minorEastAsia"/>
                <w:sz w:val="18"/>
                <w:szCs w:val="18"/>
              </w:rPr>
              <w:t xml:space="preserve">理论 </w:t>
            </w:r>
            <w:r>
              <w:rPr>
                <w:rFonts w:asciiTheme="minorEastAsia" w:hAnsiTheme="minorEastAsia"/>
                <w:sz w:val="18"/>
                <w:szCs w:val="18"/>
              </w:rPr>
              <w:t>30</w:t>
            </w:r>
            <w:r>
              <w:rPr>
                <w:rFonts w:hint="eastAsia" w:asciiTheme="minorEastAsia" w:hAnsiTheme="minorEastAsia"/>
                <w:sz w:val="18"/>
                <w:szCs w:val="18"/>
              </w:rPr>
              <w:t>学时</w:t>
            </w:r>
          </w:p>
          <w:p>
            <w:pPr>
              <w:rPr>
                <w:rFonts w:asciiTheme="minorEastAsia" w:hAnsiTheme="minorEastAsia"/>
                <w:sz w:val="18"/>
                <w:szCs w:val="18"/>
              </w:rPr>
            </w:pPr>
            <w:r>
              <w:rPr>
                <w:rFonts w:hint="eastAsia" w:asciiTheme="minorEastAsia" w:hAnsiTheme="minorEastAsia"/>
                <w:sz w:val="18"/>
                <w:szCs w:val="18"/>
              </w:rPr>
              <w:t>实践</w:t>
            </w:r>
            <w:r>
              <w:rPr>
                <w:rFonts w:hint="eastAsia" w:asciiTheme="minorEastAsia" w:hAnsiTheme="minorEastAsia"/>
                <w:sz w:val="18"/>
                <w:szCs w:val="18"/>
                <w:lang w:val="en-US" w:eastAsia="zh-CN"/>
              </w:rPr>
              <w:t>30</w:t>
            </w:r>
            <w:r>
              <w:rPr>
                <w:rFonts w:hint="eastAsia" w:asciiTheme="minorEastAsia" w:hAnsiTheme="minorEastAsia"/>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Borders>
              <w:right w:val="single" w:color="auto" w:sz="4" w:space="0"/>
            </w:tcBorders>
            <w:vAlign w:val="center"/>
          </w:tcPr>
          <w:p>
            <w:pPr>
              <w:jc w:val="center"/>
              <w:rPr>
                <w:rFonts w:hint="eastAsia" w:asciiTheme="minorEastAsia" w:hAnsiTheme="minorEastAsia" w:eastAsiaTheme="minorEastAsia"/>
                <w:sz w:val="18"/>
                <w:szCs w:val="18"/>
                <w:lang w:val="en-US" w:eastAsia="zh-CN"/>
              </w:rPr>
            </w:pPr>
            <w:bookmarkStart w:id="20" w:name="_Toc89793280"/>
            <w:r>
              <w:rPr>
                <w:rFonts w:hint="eastAsia" w:asciiTheme="minorEastAsia" w:hAnsiTheme="minorEastAsia"/>
                <w:sz w:val="18"/>
                <w:szCs w:val="18"/>
                <w:lang w:val="en-US" w:eastAsia="zh-CN"/>
              </w:rPr>
              <w:t>5</w:t>
            </w:r>
          </w:p>
        </w:tc>
        <w:tc>
          <w:tcPr>
            <w:tcW w:w="1858"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eastAsia" w:asciiTheme="minorEastAsia" w:hAnsiTheme="minorEastAsia"/>
                <w:sz w:val="18"/>
                <w:szCs w:val="18"/>
              </w:rPr>
            </w:pPr>
            <w:r>
              <w:rPr>
                <w:rFonts w:hint="eastAsia" w:asciiTheme="minorEastAsia" w:hAnsiTheme="minorEastAsia"/>
                <w:sz w:val="18"/>
                <w:szCs w:val="18"/>
              </w:rPr>
              <w:t>数字孪生技术综合实训</w:t>
            </w:r>
          </w:p>
        </w:tc>
        <w:tc>
          <w:tcPr>
            <w:tcW w:w="592"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eastAsia" w:eastAsiaTheme="minorEastAsia"/>
                <w:sz w:val="16"/>
                <w:szCs w:val="16"/>
                <w:lang w:val="en-US" w:eastAsia="zh-CN"/>
              </w:rPr>
            </w:pPr>
            <w:r>
              <w:rPr>
                <w:rFonts w:hint="eastAsia"/>
                <w:sz w:val="16"/>
                <w:szCs w:val="16"/>
                <w:lang w:val="en-US" w:eastAsia="zh-CN"/>
              </w:rPr>
              <w:t>1</w:t>
            </w:r>
          </w:p>
        </w:tc>
        <w:tc>
          <w:tcPr>
            <w:tcW w:w="117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sz w:val="16"/>
                <w:szCs w:val="16"/>
                <w:lang w:val="en-US" w:eastAsia="zh-CN"/>
              </w:rPr>
            </w:pPr>
            <w:r>
              <w:rPr>
                <w:rFonts w:hint="eastAsia"/>
                <w:sz w:val="16"/>
                <w:szCs w:val="16"/>
                <w:lang w:val="en-US" w:eastAsia="zh-CN"/>
              </w:rPr>
              <w:t>24</w:t>
            </w:r>
          </w:p>
        </w:tc>
        <w:tc>
          <w:tcPr>
            <w:tcW w:w="2113" w:type="dxa"/>
            <w:tcBorders>
              <w:top w:val="single" w:color="auto" w:sz="4" w:space="0"/>
              <w:left w:val="single" w:color="auto" w:sz="4" w:space="0"/>
            </w:tcBorders>
            <w:vAlign w:val="center"/>
          </w:tcPr>
          <w:p>
            <w:pPr>
              <w:rPr>
                <w:rFonts w:hint="eastAsia" w:asciiTheme="minorEastAsia" w:hAnsiTheme="minorEastAsia"/>
                <w:sz w:val="18"/>
                <w:szCs w:val="18"/>
              </w:rPr>
            </w:pPr>
            <w:r>
              <w:rPr>
                <w:rFonts w:hint="eastAsia" w:asciiTheme="minorEastAsia" w:hAnsiTheme="minorEastAsia"/>
                <w:sz w:val="18"/>
                <w:szCs w:val="18"/>
              </w:rPr>
              <w:t>通过本课程的学习，使学生掌握采用工业仿真软件实现虚拟和现实的交互技术。能对包含多物理场以及通常存在于机电一体化产品中的自动化相关行为的概念进行3D建模和仿真。培养学生的创新设计理念和设计能力。</w:t>
            </w:r>
          </w:p>
        </w:tc>
        <w:tc>
          <w:tcPr>
            <w:tcW w:w="2002" w:type="dxa"/>
            <w:vAlign w:val="center"/>
          </w:tcPr>
          <w:p>
            <w:pPr>
              <w:ind w:left="180" w:hanging="180" w:hangingChars="100"/>
              <w:rPr>
                <w:rFonts w:asciiTheme="minorEastAsia" w:hAnsiTheme="minorEastAsia"/>
                <w:sz w:val="18"/>
                <w:szCs w:val="18"/>
              </w:rPr>
            </w:pPr>
            <w:r>
              <w:rPr>
                <w:rFonts w:hint="eastAsia" w:asciiTheme="minorEastAsia" w:hAnsiTheme="minorEastAsia"/>
                <w:sz w:val="18"/>
                <w:szCs w:val="18"/>
              </w:rPr>
              <w:t xml:space="preserve">1.本课程主要内容：UG NX12.0的机电概念设计（MCD）软件平台认识与实践；机电设备控制系统MCD应用实例； </w:t>
            </w:r>
          </w:p>
          <w:p>
            <w:pPr>
              <w:rPr>
                <w:rFonts w:asciiTheme="minorEastAsia" w:hAnsiTheme="minorEastAsia"/>
                <w:sz w:val="18"/>
                <w:szCs w:val="18"/>
              </w:rPr>
            </w:pPr>
            <w:r>
              <w:rPr>
                <w:rFonts w:hint="eastAsia" w:asciiTheme="minorEastAsia" w:hAnsiTheme="minorEastAsia"/>
                <w:sz w:val="18"/>
                <w:szCs w:val="18"/>
              </w:rPr>
              <w:t>2.课程采用理论与实验交叉教学的方式，在掌握理论的基础上，训练学生的应用能力。</w:t>
            </w:r>
          </w:p>
          <w:p>
            <w:pPr>
              <w:rPr>
                <w:rFonts w:hint="eastAsia" w:asciiTheme="minorEastAsia" w:hAnsiTheme="minorEastAsia"/>
                <w:sz w:val="18"/>
                <w:szCs w:val="18"/>
              </w:rPr>
            </w:pPr>
            <w:r>
              <w:rPr>
                <w:rFonts w:hint="eastAsia" w:asciiTheme="minorEastAsia" w:hAnsiTheme="minorEastAsia"/>
                <w:sz w:val="18"/>
                <w:szCs w:val="18"/>
              </w:rPr>
              <w:t>3.课程考核方式为考查。</w:t>
            </w:r>
          </w:p>
        </w:tc>
        <w:tc>
          <w:tcPr>
            <w:tcW w:w="580" w:type="dxa"/>
            <w:vAlign w:val="center"/>
          </w:tcPr>
          <w:p>
            <w:pPr>
              <w:rPr>
                <w:rFonts w:hint="eastAsia" w:asciiTheme="minorEastAsia" w:hAnsiTheme="minorEastAsia" w:eastAsiaTheme="minorEastAsia"/>
                <w:sz w:val="18"/>
                <w:szCs w:val="18"/>
                <w:lang w:eastAsia="zh-CN"/>
              </w:rPr>
            </w:pPr>
            <w:r>
              <w:rPr>
                <w:rFonts w:hint="eastAsia" w:asciiTheme="minorEastAsia" w:hAnsiTheme="minorEastAsia"/>
                <w:sz w:val="18"/>
                <w:szCs w:val="18"/>
                <w:lang w:eastAsia="zh-CN"/>
              </w:rPr>
              <w:t>纯实操课</w:t>
            </w:r>
          </w:p>
        </w:tc>
      </w:tr>
    </w:tbl>
    <w:p>
      <w:pPr>
        <w:pStyle w:val="4"/>
      </w:pPr>
      <w:r>
        <w:rPr>
          <w:rFonts w:hint="eastAsia"/>
        </w:rPr>
        <w:t>（三）各类课程学时学分比例表</w:t>
      </w:r>
      <w:bookmarkEnd w:id="20"/>
    </w:p>
    <w:p>
      <w:pPr>
        <w:ind w:firstLine="420" w:firstLineChars="200"/>
      </w:pPr>
      <w:r>
        <w:rPr>
          <w:rFonts w:hint="eastAsia"/>
        </w:rPr>
        <w:t>本专业各类课程学时学分比例见表8。</w:t>
      </w:r>
    </w:p>
    <w:p>
      <w:pPr>
        <w:jc w:val="center"/>
      </w:pPr>
      <w:r>
        <w:rPr>
          <w:rFonts w:hint="eastAsia"/>
        </w:rPr>
        <w:t>表8</w:t>
      </w:r>
      <w:r>
        <w:t xml:space="preserve"> </w:t>
      </w:r>
      <w:r>
        <w:rPr>
          <w:rFonts w:hint="eastAsia"/>
        </w:rPr>
        <w:t>各类课程学时学分比例表</w:t>
      </w:r>
    </w:p>
    <w:tbl>
      <w:tblPr>
        <w:tblStyle w:val="15"/>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584"/>
        <w:gridCol w:w="1324"/>
        <w:gridCol w:w="1065"/>
        <w:gridCol w:w="1599"/>
        <w:gridCol w:w="789"/>
        <w:gridCol w:w="1253"/>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59" w:type="dxa"/>
            <w:gridSpan w:val="3"/>
            <w:vMerge w:val="restart"/>
            <w:vAlign w:val="center"/>
          </w:tcPr>
          <w:p>
            <w:pPr>
              <w:spacing w:line="600" w:lineRule="auto"/>
              <w:jc w:val="center"/>
              <w:rPr>
                <w:rFonts w:ascii="宋体" w:hAnsi="宋体"/>
                <w:sz w:val="18"/>
                <w:szCs w:val="18"/>
              </w:rPr>
            </w:pPr>
            <w:r>
              <w:rPr>
                <w:rFonts w:hint="eastAsia" w:ascii="宋体" w:hAnsi="宋体"/>
                <w:sz w:val="18"/>
                <w:szCs w:val="18"/>
              </w:rPr>
              <w:t>课程类别</w:t>
            </w:r>
          </w:p>
        </w:tc>
        <w:tc>
          <w:tcPr>
            <w:tcW w:w="2664" w:type="dxa"/>
            <w:gridSpan w:val="2"/>
            <w:vAlign w:val="center"/>
          </w:tcPr>
          <w:p>
            <w:pPr>
              <w:spacing w:line="400" w:lineRule="exact"/>
              <w:jc w:val="center"/>
              <w:rPr>
                <w:rFonts w:ascii="宋体" w:hAnsi="宋体"/>
                <w:sz w:val="18"/>
                <w:szCs w:val="18"/>
              </w:rPr>
            </w:pPr>
            <w:r>
              <w:rPr>
                <w:rFonts w:hint="eastAsia" w:ascii="宋体" w:hAnsi="宋体"/>
                <w:sz w:val="18"/>
                <w:szCs w:val="18"/>
              </w:rPr>
              <w:t>小计</w:t>
            </w:r>
          </w:p>
        </w:tc>
        <w:tc>
          <w:tcPr>
            <w:tcW w:w="2042" w:type="dxa"/>
            <w:gridSpan w:val="2"/>
            <w:vAlign w:val="center"/>
          </w:tcPr>
          <w:p>
            <w:pPr>
              <w:spacing w:line="400" w:lineRule="exact"/>
              <w:jc w:val="center"/>
              <w:rPr>
                <w:rFonts w:ascii="宋体" w:hAnsi="宋体"/>
                <w:sz w:val="18"/>
                <w:szCs w:val="18"/>
              </w:rPr>
            </w:pPr>
            <w:r>
              <w:rPr>
                <w:rFonts w:hint="eastAsia" w:ascii="宋体" w:hAnsi="宋体"/>
                <w:sz w:val="18"/>
                <w:szCs w:val="18"/>
              </w:rPr>
              <w:t>小计</w:t>
            </w:r>
          </w:p>
        </w:tc>
        <w:tc>
          <w:tcPr>
            <w:tcW w:w="1030" w:type="dxa"/>
            <w:vAlign w:val="center"/>
          </w:tcPr>
          <w:p>
            <w:pPr>
              <w:spacing w:line="400" w:lineRule="exact"/>
              <w:jc w:val="center"/>
              <w:rPr>
                <w:rFonts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gridSpan w:val="3"/>
            <w:vMerge w:val="continue"/>
            <w:vAlign w:val="center"/>
          </w:tcPr>
          <w:p>
            <w:pPr>
              <w:spacing w:line="400" w:lineRule="exact"/>
              <w:jc w:val="center"/>
              <w:rPr>
                <w:rFonts w:ascii="宋体" w:hAnsi="宋体"/>
                <w:sz w:val="18"/>
                <w:szCs w:val="18"/>
              </w:rPr>
            </w:pPr>
          </w:p>
        </w:tc>
        <w:tc>
          <w:tcPr>
            <w:tcW w:w="1065" w:type="dxa"/>
            <w:vAlign w:val="center"/>
          </w:tcPr>
          <w:p>
            <w:pPr>
              <w:spacing w:line="400" w:lineRule="exact"/>
              <w:jc w:val="center"/>
              <w:rPr>
                <w:rFonts w:ascii="宋体" w:hAnsi="宋体"/>
                <w:sz w:val="18"/>
                <w:szCs w:val="18"/>
              </w:rPr>
            </w:pPr>
            <w:r>
              <w:rPr>
                <w:rFonts w:hint="eastAsia" w:ascii="宋体" w:hAnsi="宋体"/>
                <w:sz w:val="18"/>
                <w:szCs w:val="18"/>
              </w:rPr>
              <w:t>学时</w:t>
            </w:r>
          </w:p>
        </w:tc>
        <w:tc>
          <w:tcPr>
            <w:tcW w:w="1599" w:type="dxa"/>
            <w:vAlign w:val="center"/>
          </w:tcPr>
          <w:p>
            <w:pPr>
              <w:spacing w:line="400" w:lineRule="exact"/>
              <w:jc w:val="center"/>
              <w:rPr>
                <w:rFonts w:ascii="宋体" w:hAnsi="宋体"/>
                <w:sz w:val="18"/>
                <w:szCs w:val="18"/>
              </w:rPr>
            </w:pPr>
            <w:r>
              <w:rPr>
                <w:rFonts w:hint="eastAsia" w:ascii="宋体" w:hAnsi="宋体"/>
                <w:sz w:val="18"/>
                <w:szCs w:val="18"/>
              </w:rPr>
              <w:t>比例（%）</w:t>
            </w:r>
          </w:p>
        </w:tc>
        <w:tc>
          <w:tcPr>
            <w:tcW w:w="789" w:type="dxa"/>
            <w:vAlign w:val="center"/>
          </w:tcPr>
          <w:p>
            <w:pPr>
              <w:spacing w:line="400" w:lineRule="exact"/>
              <w:jc w:val="center"/>
              <w:rPr>
                <w:rFonts w:ascii="宋体" w:hAnsi="宋体"/>
                <w:sz w:val="18"/>
                <w:szCs w:val="18"/>
              </w:rPr>
            </w:pPr>
            <w:r>
              <w:rPr>
                <w:rFonts w:hint="eastAsia" w:ascii="宋体" w:hAnsi="宋体"/>
                <w:sz w:val="18"/>
                <w:szCs w:val="18"/>
              </w:rPr>
              <w:t>学分</w:t>
            </w:r>
          </w:p>
        </w:tc>
        <w:tc>
          <w:tcPr>
            <w:tcW w:w="1253" w:type="dxa"/>
            <w:vAlign w:val="center"/>
          </w:tcPr>
          <w:p>
            <w:pPr>
              <w:spacing w:line="400" w:lineRule="exact"/>
              <w:jc w:val="center"/>
              <w:rPr>
                <w:rFonts w:ascii="宋体" w:hAnsi="宋体"/>
                <w:sz w:val="18"/>
                <w:szCs w:val="18"/>
              </w:rPr>
            </w:pPr>
            <w:r>
              <w:rPr>
                <w:rFonts w:hint="eastAsia" w:ascii="宋体" w:hAnsi="宋体"/>
                <w:sz w:val="18"/>
                <w:szCs w:val="18"/>
              </w:rPr>
              <w:t>比例（%）</w:t>
            </w:r>
          </w:p>
        </w:tc>
        <w:tc>
          <w:tcPr>
            <w:tcW w:w="1030" w:type="dxa"/>
            <w:vAlign w:val="center"/>
          </w:tcPr>
          <w:p>
            <w:pPr>
              <w:spacing w:line="4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Merge w:val="restart"/>
            <w:vAlign w:val="center"/>
          </w:tcPr>
          <w:p>
            <w:pPr>
              <w:jc w:val="center"/>
              <w:rPr>
                <w:rFonts w:ascii="宋体" w:hAnsi="宋体"/>
                <w:sz w:val="18"/>
                <w:szCs w:val="18"/>
              </w:rPr>
            </w:pPr>
            <w:r>
              <w:rPr>
                <w:rFonts w:hint="eastAsia" w:ascii="宋体" w:hAnsi="宋体"/>
                <w:sz w:val="18"/>
                <w:szCs w:val="18"/>
              </w:rPr>
              <w:t>必修课</w:t>
            </w:r>
          </w:p>
        </w:tc>
        <w:tc>
          <w:tcPr>
            <w:tcW w:w="1908" w:type="dxa"/>
            <w:gridSpan w:val="2"/>
            <w:vAlign w:val="center"/>
          </w:tcPr>
          <w:p>
            <w:pPr>
              <w:spacing w:line="400" w:lineRule="exact"/>
              <w:jc w:val="center"/>
              <w:rPr>
                <w:rFonts w:ascii="宋体" w:hAnsi="宋体"/>
                <w:sz w:val="18"/>
                <w:szCs w:val="18"/>
                <w:highlight w:val="none"/>
              </w:rPr>
            </w:pPr>
            <w:r>
              <w:rPr>
                <w:rFonts w:hint="eastAsia" w:ascii="宋体" w:hAnsi="宋体"/>
                <w:sz w:val="18"/>
                <w:szCs w:val="18"/>
                <w:highlight w:val="none"/>
              </w:rPr>
              <w:t>公共必修课</w:t>
            </w:r>
          </w:p>
        </w:tc>
        <w:tc>
          <w:tcPr>
            <w:tcW w:w="1065" w:type="dxa"/>
            <w:vAlign w:val="center"/>
          </w:tcPr>
          <w:p>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6</w:t>
            </w:r>
            <w:r>
              <w:rPr>
                <w:rFonts w:hint="eastAsia" w:ascii="宋体" w:hAnsi="宋体"/>
                <w:color w:val="auto"/>
                <w:sz w:val="18"/>
                <w:szCs w:val="18"/>
                <w:highlight w:val="none"/>
                <w:lang w:val="en-US" w:eastAsia="zh-CN"/>
              </w:rPr>
              <w:t>5</w:t>
            </w:r>
            <w:r>
              <w:rPr>
                <w:rFonts w:ascii="宋体" w:hAnsi="宋体"/>
                <w:color w:val="auto"/>
                <w:sz w:val="18"/>
                <w:szCs w:val="18"/>
                <w:highlight w:val="none"/>
              </w:rPr>
              <w:t>0</w:t>
            </w:r>
          </w:p>
        </w:tc>
        <w:tc>
          <w:tcPr>
            <w:tcW w:w="1599" w:type="dxa"/>
            <w:vAlign w:val="center"/>
          </w:tcPr>
          <w:p>
            <w:pPr>
              <w:keepNext w:val="0"/>
              <w:keepLines w:val="0"/>
              <w:widowControl/>
              <w:suppressLineNumbers w:val="0"/>
              <w:jc w:val="center"/>
              <w:textAlignment w:val="center"/>
              <w:rPr>
                <w:rFonts w:ascii="宋体" w:hAnsi="宋体"/>
                <w:sz w:val="18"/>
                <w:szCs w:val="18"/>
                <w:highlight w:val="none"/>
              </w:rPr>
            </w:pPr>
            <w:r>
              <w:rPr>
                <w:rFonts w:hint="eastAsia" w:ascii="宋体" w:hAnsi="宋体" w:eastAsia="宋体" w:cs="宋体"/>
                <w:i w:val="0"/>
                <w:iCs w:val="0"/>
                <w:color w:val="000000"/>
                <w:kern w:val="0"/>
                <w:sz w:val="18"/>
                <w:szCs w:val="18"/>
                <w:u w:val="none"/>
                <w:lang w:val="en-US" w:eastAsia="zh-CN" w:bidi="ar"/>
              </w:rPr>
              <w:t>22.96</w:t>
            </w:r>
          </w:p>
        </w:tc>
        <w:tc>
          <w:tcPr>
            <w:tcW w:w="789" w:type="dxa"/>
            <w:vAlign w:val="center"/>
          </w:tcPr>
          <w:p>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9</w:t>
            </w:r>
          </w:p>
        </w:tc>
        <w:tc>
          <w:tcPr>
            <w:tcW w:w="1253" w:type="dxa"/>
            <w:vAlign w:val="center"/>
          </w:tcPr>
          <w:p>
            <w:pPr>
              <w:keepNext w:val="0"/>
              <w:keepLines w:val="0"/>
              <w:widowControl/>
              <w:suppressLineNumbers w:val="0"/>
              <w:jc w:val="center"/>
              <w:textAlignment w:val="center"/>
              <w:rPr>
                <w:rFonts w:ascii="宋体" w:hAnsi="宋体"/>
                <w:sz w:val="18"/>
                <w:szCs w:val="18"/>
              </w:rPr>
            </w:pPr>
            <w:r>
              <w:rPr>
                <w:rFonts w:hint="eastAsia" w:ascii="宋体" w:hAnsi="宋体" w:eastAsia="宋体" w:cs="宋体"/>
                <w:i w:val="0"/>
                <w:iCs w:val="0"/>
                <w:color w:val="000000"/>
                <w:kern w:val="0"/>
                <w:sz w:val="18"/>
                <w:szCs w:val="18"/>
                <w:u w:val="none"/>
                <w:lang w:val="en-US" w:eastAsia="zh-CN" w:bidi="ar"/>
              </w:rPr>
              <w:t>21.56</w:t>
            </w:r>
          </w:p>
        </w:tc>
        <w:tc>
          <w:tcPr>
            <w:tcW w:w="1030" w:type="dxa"/>
            <w:vAlign w:val="center"/>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Merge w:val="continue"/>
            <w:vAlign w:val="center"/>
          </w:tcPr>
          <w:p>
            <w:pPr>
              <w:jc w:val="center"/>
              <w:rPr>
                <w:rFonts w:ascii="宋体" w:hAnsi="宋体"/>
                <w:sz w:val="18"/>
                <w:szCs w:val="18"/>
              </w:rPr>
            </w:pPr>
          </w:p>
        </w:tc>
        <w:tc>
          <w:tcPr>
            <w:tcW w:w="1908" w:type="dxa"/>
            <w:gridSpan w:val="2"/>
            <w:vAlign w:val="center"/>
          </w:tcPr>
          <w:p>
            <w:pPr>
              <w:spacing w:line="400" w:lineRule="exact"/>
              <w:jc w:val="center"/>
              <w:rPr>
                <w:rFonts w:ascii="宋体" w:hAnsi="宋体"/>
                <w:sz w:val="18"/>
                <w:szCs w:val="18"/>
                <w:highlight w:val="none"/>
              </w:rPr>
            </w:pPr>
            <w:r>
              <w:rPr>
                <w:rFonts w:hint="eastAsia" w:ascii="宋体" w:hAnsi="宋体"/>
                <w:sz w:val="18"/>
                <w:szCs w:val="18"/>
                <w:highlight w:val="none"/>
              </w:rPr>
              <w:t>专业群基础平台课</w:t>
            </w:r>
          </w:p>
        </w:tc>
        <w:tc>
          <w:tcPr>
            <w:tcW w:w="1065" w:type="dxa"/>
            <w:vAlign w:val="center"/>
          </w:tcPr>
          <w:p>
            <w:pPr>
              <w:spacing w:line="400" w:lineRule="exact"/>
              <w:jc w:val="center"/>
              <w:rPr>
                <w:rFonts w:hint="default" w:ascii="宋体" w:hAnsi="宋体" w:eastAsiaTheme="minorEastAsia"/>
                <w:color w:val="auto"/>
                <w:sz w:val="18"/>
                <w:szCs w:val="18"/>
                <w:highlight w:val="none"/>
                <w:lang w:val="en-US" w:eastAsia="zh-CN"/>
              </w:rPr>
            </w:pPr>
            <w:r>
              <w:rPr>
                <w:rFonts w:ascii="宋体" w:hAnsi="宋体"/>
                <w:color w:val="auto"/>
                <w:sz w:val="18"/>
                <w:szCs w:val="18"/>
                <w:highlight w:val="none"/>
              </w:rPr>
              <w:t>5</w:t>
            </w:r>
            <w:r>
              <w:rPr>
                <w:rFonts w:hint="eastAsia" w:ascii="宋体" w:hAnsi="宋体"/>
                <w:color w:val="auto"/>
                <w:sz w:val="18"/>
                <w:szCs w:val="18"/>
                <w:highlight w:val="none"/>
                <w:lang w:val="en-US" w:eastAsia="zh-CN"/>
              </w:rPr>
              <w:t>44</w:t>
            </w:r>
          </w:p>
        </w:tc>
        <w:tc>
          <w:tcPr>
            <w:tcW w:w="1599" w:type="dxa"/>
            <w:vAlign w:val="center"/>
          </w:tcPr>
          <w:p>
            <w:pPr>
              <w:keepNext w:val="0"/>
              <w:keepLines w:val="0"/>
              <w:widowControl/>
              <w:suppressLineNumbers w:val="0"/>
              <w:jc w:val="center"/>
              <w:textAlignment w:val="center"/>
              <w:rPr>
                <w:rFonts w:ascii="宋体" w:hAnsi="宋体"/>
                <w:sz w:val="18"/>
                <w:szCs w:val="18"/>
                <w:highlight w:val="none"/>
              </w:rPr>
            </w:pPr>
            <w:r>
              <w:rPr>
                <w:rFonts w:hint="eastAsia" w:ascii="宋体" w:hAnsi="宋体" w:eastAsia="宋体" w:cs="宋体"/>
                <w:i w:val="0"/>
                <w:iCs w:val="0"/>
                <w:color w:val="000000"/>
                <w:kern w:val="0"/>
                <w:sz w:val="18"/>
                <w:szCs w:val="18"/>
                <w:u w:val="none"/>
                <w:lang w:val="en-US" w:eastAsia="zh-CN" w:bidi="ar"/>
              </w:rPr>
              <w:t>19.23</w:t>
            </w:r>
          </w:p>
        </w:tc>
        <w:tc>
          <w:tcPr>
            <w:tcW w:w="789" w:type="dxa"/>
            <w:vAlign w:val="center"/>
          </w:tcPr>
          <w:p>
            <w:pPr>
              <w:spacing w:line="400" w:lineRule="exact"/>
              <w:jc w:val="center"/>
              <w:rPr>
                <w:rFonts w:hint="default" w:ascii="宋体" w:hAnsi="宋体" w:eastAsiaTheme="minorEastAsia"/>
                <w:color w:val="auto"/>
                <w:sz w:val="18"/>
                <w:szCs w:val="18"/>
                <w:highlight w:val="none"/>
                <w:lang w:val="en-US" w:eastAsia="zh-CN"/>
              </w:rPr>
            </w:pPr>
            <w:r>
              <w:rPr>
                <w:rFonts w:hint="eastAsia" w:ascii="宋体" w:hAnsi="宋体"/>
                <w:color w:val="auto"/>
                <w:sz w:val="18"/>
                <w:szCs w:val="18"/>
                <w:highlight w:val="none"/>
                <w:lang w:val="en-US" w:eastAsia="zh-CN"/>
              </w:rPr>
              <w:t>29.5</w:t>
            </w:r>
          </w:p>
        </w:tc>
        <w:tc>
          <w:tcPr>
            <w:tcW w:w="1253" w:type="dxa"/>
            <w:vAlign w:val="center"/>
          </w:tcPr>
          <w:p>
            <w:pPr>
              <w:keepNext w:val="0"/>
              <w:keepLines w:val="0"/>
              <w:widowControl/>
              <w:suppressLineNumbers w:val="0"/>
              <w:jc w:val="center"/>
              <w:textAlignment w:val="center"/>
              <w:rPr>
                <w:rFonts w:ascii="宋体" w:hAnsi="宋体"/>
                <w:sz w:val="18"/>
                <w:szCs w:val="18"/>
              </w:rPr>
            </w:pPr>
            <w:r>
              <w:rPr>
                <w:rFonts w:hint="eastAsia" w:ascii="宋体" w:hAnsi="宋体" w:eastAsia="宋体" w:cs="宋体"/>
                <w:i w:val="0"/>
                <w:iCs w:val="0"/>
                <w:color w:val="000000"/>
                <w:kern w:val="0"/>
                <w:sz w:val="18"/>
                <w:szCs w:val="18"/>
                <w:u w:val="none"/>
                <w:lang w:val="en-US" w:eastAsia="zh-CN" w:bidi="ar"/>
              </w:rPr>
              <w:t>21.93</w:t>
            </w:r>
          </w:p>
        </w:tc>
        <w:tc>
          <w:tcPr>
            <w:tcW w:w="1030" w:type="dxa"/>
            <w:vAlign w:val="center"/>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Merge w:val="restart"/>
            <w:vAlign w:val="center"/>
          </w:tcPr>
          <w:p>
            <w:pPr>
              <w:jc w:val="center"/>
              <w:rPr>
                <w:rFonts w:ascii="宋体" w:hAnsi="宋体"/>
                <w:sz w:val="18"/>
                <w:szCs w:val="18"/>
              </w:rPr>
            </w:pPr>
            <w:r>
              <w:rPr>
                <w:rFonts w:hint="eastAsia" w:ascii="宋体" w:hAnsi="宋体"/>
                <w:sz w:val="18"/>
                <w:szCs w:val="18"/>
              </w:rPr>
              <w:t>选修课</w:t>
            </w:r>
          </w:p>
        </w:tc>
        <w:tc>
          <w:tcPr>
            <w:tcW w:w="1908" w:type="dxa"/>
            <w:gridSpan w:val="2"/>
            <w:vAlign w:val="center"/>
          </w:tcPr>
          <w:p>
            <w:pPr>
              <w:spacing w:line="400" w:lineRule="exact"/>
              <w:jc w:val="center"/>
              <w:rPr>
                <w:rFonts w:ascii="宋体" w:hAnsi="宋体"/>
                <w:sz w:val="18"/>
                <w:szCs w:val="18"/>
                <w:highlight w:val="none"/>
              </w:rPr>
            </w:pPr>
            <w:r>
              <w:rPr>
                <w:rFonts w:hint="eastAsia" w:ascii="宋体" w:hAnsi="宋体"/>
                <w:sz w:val="18"/>
                <w:szCs w:val="18"/>
                <w:highlight w:val="none"/>
              </w:rPr>
              <w:t>公共选修课</w:t>
            </w:r>
          </w:p>
        </w:tc>
        <w:tc>
          <w:tcPr>
            <w:tcW w:w="1065" w:type="dxa"/>
            <w:vAlign w:val="center"/>
          </w:tcPr>
          <w:p>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7</w:t>
            </w:r>
            <w:r>
              <w:rPr>
                <w:rFonts w:ascii="宋体" w:hAnsi="宋体"/>
                <w:color w:val="auto"/>
                <w:sz w:val="18"/>
                <w:szCs w:val="18"/>
                <w:highlight w:val="none"/>
              </w:rPr>
              <w:t>2</w:t>
            </w:r>
          </w:p>
        </w:tc>
        <w:tc>
          <w:tcPr>
            <w:tcW w:w="1599" w:type="dxa"/>
            <w:vAlign w:val="center"/>
          </w:tcPr>
          <w:p>
            <w:pPr>
              <w:keepNext w:val="0"/>
              <w:keepLines w:val="0"/>
              <w:widowControl/>
              <w:suppressLineNumbers w:val="0"/>
              <w:jc w:val="center"/>
              <w:textAlignment w:val="center"/>
              <w:rPr>
                <w:rFonts w:ascii="宋体" w:hAnsi="宋体"/>
                <w:sz w:val="18"/>
                <w:szCs w:val="18"/>
                <w:highlight w:val="none"/>
              </w:rPr>
            </w:pPr>
            <w:r>
              <w:rPr>
                <w:rFonts w:hint="eastAsia" w:ascii="宋体" w:hAnsi="宋体" w:eastAsia="宋体" w:cs="宋体"/>
                <w:i w:val="0"/>
                <w:iCs w:val="0"/>
                <w:color w:val="000000"/>
                <w:kern w:val="0"/>
                <w:sz w:val="18"/>
                <w:szCs w:val="18"/>
                <w:u w:val="none"/>
                <w:lang w:val="en-US" w:eastAsia="zh-CN" w:bidi="ar"/>
              </w:rPr>
              <w:t>2.54</w:t>
            </w:r>
          </w:p>
        </w:tc>
        <w:tc>
          <w:tcPr>
            <w:tcW w:w="789" w:type="dxa"/>
            <w:vAlign w:val="center"/>
          </w:tcPr>
          <w:p>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4</w:t>
            </w:r>
            <w:r>
              <w:rPr>
                <w:rFonts w:ascii="宋体" w:hAnsi="宋体"/>
                <w:color w:val="auto"/>
                <w:sz w:val="18"/>
                <w:szCs w:val="18"/>
                <w:highlight w:val="none"/>
              </w:rPr>
              <w:t>.0</w:t>
            </w:r>
          </w:p>
        </w:tc>
        <w:tc>
          <w:tcPr>
            <w:tcW w:w="1253" w:type="dxa"/>
            <w:vAlign w:val="center"/>
          </w:tcPr>
          <w:p>
            <w:pPr>
              <w:keepNext w:val="0"/>
              <w:keepLines w:val="0"/>
              <w:widowControl/>
              <w:suppressLineNumbers w:val="0"/>
              <w:jc w:val="center"/>
              <w:textAlignment w:val="center"/>
              <w:rPr>
                <w:rFonts w:ascii="宋体" w:hAnsi="宋体"/>
                <w:sz w:val="18"/>
                <w:szCs w:val="18"/>
              </w:rPr>
            </w:pPr>
            <w:r>
              <w:rPr>
                <w:rFonts w:hint="eastAsia" w:ascii="宋体" w:hAnsi="宋体" w:eastAsia="宋体" w:cs="宋体"/>
                <w:i w:val="0"/>
                <w:iCs w:val="0"/>
                <w:color w:val="000000"/>
                <w:kern w:val="0"/>
                <w:sz w:val="18"/>
                <w:szCs w:val="18"/>
                <w:u w:val="none"/>
                <w:lang w:val="en-US" w:eastAsia="zh-CN" w:bidi="ar"/>
              </w:rPr>
              <w:t>2.97</w:t>
            </w:r>
          </w:p>
        </w:tc>
        <w:tc>
          <w:tcPr>
            <w:tcW w:w="1030" w:type="dxa"/>
            <w:vAlign w:val="center"/>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Merge w:val="continue"/>
            <w:vAlign w:val="center"/>
          </w:tcPr>
          <w:p>
            <w:pPr>
              <w:spacing w:line="600" w:lineRule="auto"/>
              <w:jc w:val="center"/>
              <w:rPr>
                <w:rFonts w:ascii="宋体" w:hAnsi="宋体"/>
                <w:sz w:val="18"/>
                <w:szCs w:val="18"/>
              </w:rPr>
            </w:pPr>
          </w:p>
        </w:tc>
        <w:tc>
          <w:tcPr>
            <w:tcW w:w="1908" w:type="dxa"/>
            <w:gridSpan w:val="2"/>
            <w:vAlign w:val="center"/>
          </w:tcPr>
          <w:p>
            <w:pPr>
              <w:spacing w:line="400" w:lineRule="exact"/>
              <w:jc w:val="center"/>
              <w:rPr>
                <w:rFonts w:ascii="宋体" w:hAnsi="宋体"/>
                <w:sz w:val="18"/>
                <w:szCs w:val="18"/>
                <w:highlight w:val="none"/>
              </w:rPr>
            </w:pPr>
            <w:r>
              <w:rPr>
                <w:rFonts w:hint="eastAsia" w:ascii="宋体" w:hAnsi="宋体"/>
                <w:sz w:val="18"/>
                <w:szCs w:val="18"/>
                <w:highlight w:val="none"/>
              </w:rPr>
              <w:t>限定选修课</w:t>
            </w:r>
          </w:p>
        </w:tc>
        <w:tc>
          <w:tcPr>
            <w:tcW w:w="1065" w:type="dxa"/>
            <w:vAlign w:val="center"/>
          </w:tcPr>
          <w:p>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70</w:t>
            </w:r>
          </w:p>
        </w:tc>
        <w:tc>
          <w:tcPr>
            <w:tcW w:w="1599" w:type="dxa"/>
            <w:vAlign w:val="center"/>
          </w:tcPr>
          <w:p>
            <w:pPr>
              <w:keepNext w:val="0"/>
              <w:keepLines w:val="0"/>
              <w:widowControl/>
              <w:suppressLineNumbers w:val="0"/>
              <w:jc w:val="center"/>
              <w:textAlignment w:val="center"/>
              <w:rPr>
                <w:rFonts w:ascii="宋体" w:hAnsi="宋体"/>
                <w:sz w:val="18"/>
                <w:szCs w:val="18"/>
                <w:highlight w:val="none"/>
              </w:rPr>
            </w:pPr>
            <w:r>
              <w:rPr>
                <w:rFonts w:hint="eastAsia" w:ascii="宋体" w:hAnsi="宋体" w:eastAsia="宋体" w:cs="宋体"/>
                <w:i w:val="0"/>
                <w:iCs w:val="0"/>
                <w:color w:val="000000"/>
                <w:kern w:val="0"/>
                <w:sz w:val="18"/>
                <w:szCs w:val="18"/>
                <w:u w:val="none"/>
                <w:lang w:val="en-US" w:eastAsia="zh-CN" w:bidi="ar"/>
              </w:rPr>
              <w:t>5.99</w:t>
            </w:r>
          </w:p>
        </w:tc>
        <w:tc>
          <w:tcPr>
            <w:tcW w:w="789" w:type="dxa"/>
            <w:vAlign w:val="center"/>
          </w:tcPr>
          <w:p>
            <w:pPr>
              <w:spacing w:line="400" w:lineRule="exact"/>
              <w:jc w:val="center"/>
              <w:rPr>
                <w:rFonts w:hint="eastAsia" w:ascii="宋体" w:hAnsi="宋体" w:eastAsiaTheme="minorEastAsia"/>
                <w:sz w:val="18"/>
                <w:szCs w:val="18"/>
                <w:highlight w:val="none"/>
                <w:lang w:val="en-US" w:eastAsia="zh-CN"/>
              </w:rPr>
            </w:pPr>
            <w:r>
              <w:rPr>
                <w:rFonts w:hint="eastAsia" w:ascii="宋体" w:hAnsi="宋体"/>
                <w:sz w:val="18"/>
                <w:szCs w:val="18"/>
                <w:highlight w:val="none"/>
              </w:rPr>
              <w:t>9</w:t>
            </w:r>
            <w:r>
              <w:rPr>
                <w:rFonts w:ascii="宋体" w:hAnsi="宋体"/>
                <w:sz w:val="18"/>
                <w:szCs w:val="18"/>
                <w:highlight w:val="none"/>
              </w:rPr>
              <w:t>.</w:t>
            </w:r>
            <w:r>
              <w:rPr>
                <w:rFonts w:hint="eastAsia" w:ascii="宋体" w:hAnsi="宋体"/>
                <w:sz w:val="18"/>
                <w:szCs w:val="18"/>
                <w:highlight w:val="none"/>
                <w:lang w:val="en-US" w:eastAsia="zh-CN"/>
              </w:rPr>
              <w:t>0</w:t>
            </w:r>
          </w:p>
        </w:tc>
        <w:tc>
          <w:tcPr>
            <w:tcW w:w="1253" w:type="dxa"/>
            <w:vAlign w:val="center"/>
          </w:tcPr>
          <w:p>
            <w:pPr>
              <w:keepNext w:val="0"/>
              <w:keepLines w:val="0"/>
              <w:widowControl/>
              <w:suppressLineNumbers w:val="0"/>
              <w:jc w:val="center"/>
              <w:textAlignment w:val="center"/>
              <w:rPr>
                <w:rFonts w:ascii="宋体" w:hAnsi="宋体"/>
                <w:sz w:val="18"/>
                <w:szCs w:val="18"/>
              </w:rPr>
            </w:pPr>
            <w:r>
              <w:rPr>
                <w:rFonts w:hint="eastAsia" w:ascii="宋体" w:hAnsi="宋体" w:eastAsia="宋体" w:cs="宋体"/>
                <w:i w:val="0"/>
                <w:iCs w:val="0"/>
                <w:color w:val="000000"/>
                <w:kern w:val="0"/>
                <w:sz w:val="18"/>
                <w:szCs w:val="18"/>
                <w:u w:val="none"/>
                <w:lang w:val="en-US" w:eastAsia="zh-CN" w:bidi="ar"/>
              </w:rPr>
              <w:t>7.063</w:t>
            </w:r>
          </w:p>
        </w:tc>
        <w:tc>
          <w:tcPr>
            <w:tcW w:w="1030" w:type="dxa"/>
            <w:vAlign w:val="center"/>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Merge w:val="continue"/>
            <w:vAlign w:val="center"/>
          </w:tcPr>
          <w:p>
            <w:pPr>
              <w:spacing w:line="600" w:lineRule="auto"/>
              <w:jc w:val="center"/>
              <w:rPr>
                <w:rFonts w:ascii="宋体" w:hAnsi="宋体"/>
                <w:sz w:val="18"/>
                <w:szCs w:val="18"/>
              </w:rPr>
            </w:pPr>
          </w:p>
        </w:tc>
        <w:tc>
          <w:tcPr>
            <w:tcW w:w="1908" w:type="dxa"/>
            <w:gridSpan w:val="2"/>
            <w:vAlign w:val="center"/>
          </w:tcPr>
          <w:p>
            <w:pPr>
              <w:spacing w:line="400" w:lineRule="exact"/>
              <w:jc w:val="center"/>
              <w:rPr>
                <w:rFonts w:ascii="宋体" w:hAnsi="宋体"/>
                <w:sz w:val="18"/>
                <w:szCs w:val="18"/>
                <w:highlight w:val="none"/>
              </w:rPr>
            </w:pPr>
            <w:r>
              <w:rPr>
                <w:rFonts w:hint="eastAsia" w:ascii="宋体" w:hAnsi="宋体"/>
                <w:sz w:val="18"/>
                <w:szCs w:val="18"/>
                <w:highlight w:val="none"/>
              </w:rPr>
              <w:t>专业技术方向课</w:t>
            </w:r>
          </w:p>
        </w:tc>
        <w:tc>
          <w:tcPr>
            <w:tcW w:w="1065" w:type="dxa"/>
            <w:vAlign w:val="center"/>
          </w:tcPr>
          <w:p>
            <w:pPr>
              <w:spacing w:line="400" w:lineRule="exact"/>
              <w:jc w:val="center"/>
              <w:rPr>
                <w:rFonts w:hint="default" w:ascii="宋体" w:hAnsi="宋体" w:eastAsiaTheme="minorEastAsia"/>
                <w:color w:val="auto"/>
                <w:sz w:val="18"/>
                <w:szCs w:val="18"/>
                <w:highlight w:val="none"/>
                <w:lang w:val="en-US" w:eastAsia="zh-CN"/>
              </w:rPr>
            </w:pPr>
            <w:r>
              <w:rPr>
                <w:rFonts w:hint="eastAsia" w:ascii="宋体" w:hAnsi="宋体"/>
                <w:color w:val="auto"/>
                <w:sz w:val="18"/>
                <w:szCs w:val="18"/>
                <w:highlight w:val="none"/>
              </w:rPr>
              <w:t>9</w:t>
            </w:r>
            <w:r>
              <w:rPr>
                <w:rFonts w:hint="eastAsia" w:ascii="宋体" w:hAnsi="宋体"/>
                <w:color w:val="auto"/>
                <w:sz w:val="18"/>
                <w:szCs w:val="18"/>
                <w:highlight w:val="none"/>
                <w:lang w:val="en-US" w:eastAsia="zh-CN"/>
              </w:rPr>
              <w:t>80</w:t>
            </w:r>
          </w:p>
        </w:tc>
        <w:tc>
          <w:tcPr>
            <w:tcW w:w="1599" w:type="dxa"/>
            <w:vAlign w:val="center"/>
          </w:tcPr>
          <w:p>
            <w:pPr>
              <w:keepNext w:val="0"/>
              <w:keepLines w:val="0"/>
              <w:widowControl/>
              <w:suppressLineNumbers w:val="0"/>
              <w:jc w:val="center"/>
              <w:textAlignment w:val="center"/>
              <w:rPr>
                <w:rFonts w:ascii="宋体" w:hAnsi="宋体"/>
                <w:sz w:val="18"/>
                <w:szCs w:val="18"/>
                <w:highlight w:val="none"/>
              </w:rPr>
            </w:pPr>
            <w:r>
              <w:rPr>
                <w:rFonts w:hint="eastAsia" w:ascii="宋体" w:hAnsi="宋体" w:eastAsia="宋体" w:cs="宋体"/>
                <w:i w:val="0"/>
                <w:iCs w:val="0"/>
                <w:color w:val="000000"/>
                <w:kern w:val="0"/>
                <w:sz w:val="18"/>
                <w:szCs w:val="18"/>
                <w:u w:val="none"/>
                <w:lang w:val="en-US" w:eastAsia="zh-CN" w:bidi="ar"/>
              </w:rPr>
              <w:t>34.40</w:t>
            </w:r>
          </w:p>
        </w:tc>
        <w:tc>
          <w:tcPr>
            <w:tcW w:w="789" w:type="dxa"/>
            <w:vAlign w:val="center"/>
          </w:tcPr>
          <w:p>
            <w:pPr>
              <w:spacing w:line="400" w:lineRule="exact"/>
              <w:jc w:val="center"/>
              <w:rPr>
                <w:rFonts w:ascii="宋体" w:hAnsi="宋体"/>
                <w:sz w:val="18"/>
                <w:szCs w:val="18"/>
                <w:highlight w:val="none"/>
              </w:rPr>
            </w:pPr>
            <w:r>
              <w:rPr>
                <w:rFonts w:hint="eastAsia" w:ascii="宋体" w:hAnsi="宋体"/>
                <w:sz w:val="18"/>
                <w:szCs w:val="18"/>
                <w:highlight w:val="none"/>
              </w:rPr>
              <w:t>4</w:t>
            </w:r>
            <w:r>
              <w:rPr>
                <w:rFonts w:hint="eastAsia" w:ascii="宋体" w:hAnsi="宋体"/>
                <w:sz w:val="18"/>
                <w:szCs w:val="18"/>
                <w:highlight w:val="none"/>
                <w:lang w:val="en-US" w:eastAsia="zh-CN"/>
              </w:rPr>
              <w:t>2</w:t>
            </w:r>
            <w:r>
              <w:rPr>
                <w:rFonts w:ascii="宋体" w:hAnsi="宋体"/>
                <w:sz w:val="18"/>
                <w:szCs w:val="18"/>
                <w:highlight w:val="none"/>
              </w:rPr>
              <w:t>.5</w:t>
            </w:r>
          </w:p>
        </w:tc>
        <w:tc>
          <w:tcPr>
            <w:tcW w:w="1253" w:type="dxa"/>
            <w:vAlign w:val="center"/>
          </w:tcPr>
          <w:p>
            <w:pPr>
              <w:keepNext w:val="0"/>
              <w:keepLines w:val="0"/>
              <w:widowControl/>
              <w:suppressLineNumbers w:val="0"/>
              <w:jc w:val="center"/>
              <w:textAlignment w:val="center"/>
              <w:rPr>
                <w:rFonts w:ascii="宋体" w:hAnsi="宋体"/>
                <w:sz w:val="18"/>
                <w:szCs w:val="18"/>
              </w:rPr>
            </w:pPr>
            <w:r>
              <w:rPr>
                <w:rFonts w:hint="eastAsia" w:ascii="宋体" w:hAnsi="宋体" w:eastAsia="宋体" w:cs="宋体"/>
                <w:i w:val="0"/>
                <w:iCs w:val="0"/>
                <w:color w:val="000000"/>
                <w:kern w:val="0"/>
                <w:sz w:val="18"/>
                <w:szCs w:val="18"/>
                <w:u w:val="none"/>
                <w:lang w:val="en-US" w:eastAsia="zh-CN" w:bidi="ar"/>
              </w:rPr>
              <w:t>31.59</w:t>
            </w:r>
          </w:p>
        </w:tc>
        <w:tc>
          <w:tcPr>
            <w:tcW w:w="1030" w:type="dxa"/>
            <w:vAlign w:val="center"/>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Merge w:val="continue"/>
            <w:vAlign w:val="center"/>
          </w:tcPr>
          <w:p>
            <w:pPr>
              <w:spacing w:line="400" w:lineRule="exact"/>
              <w:rPr>
                <w:rFonts w:ascii="宋体" w:hAnsi="宋体"/>
                <w:b/>
                <w:sz w:val="18"/>
                <w:szCs w:val="18"/>
              </w:rPr>
            </w:pPr>
          </w:p>
        </w:tc>
        <w:tc>
          <w:tcPr>
            <w:tcW w:w="1908" w:type="dxa"/>
            <w:gridSpan w:val="2"/>
            <w:vAlign w:val="center"/>
          </w:tcPr>
          <w:p>
            <w:pPr>
              <w:spacing w:line="400" w:lineRule="exact"/>
              <w:jc w:val="center"/>
              <w:rPr>
                <w:rFonts w:ascii="宋体" w:hAnsi="宋体"/>
                <w:sz w:val="18"/>
                <w:szCs w:val="18"/>
                <w:highlight w:val="none"/>
              </w:rPr>
            </w:pPr>
            <w:r>
              <w:rPr>
                <w:rFonts w:hint="eastAsia" w:ascii="宋体" w:hAnsi="宋体"/>
                <w:sz w:val="18"/>
                <w:szCs w:val="18"/>
                <w:highlight w:val="none"/>
              </w:rPr>
              <w:t>专业拓展课</w:t>
            </w:r>
          </w:p>
        </w:tc>
        <w:tc>
          <w:tcPr>
            <w:tcW w:w="1065" w:type="dxa"/>
            <w:vAlign w:val="center"/>
          </w:tcPr>
          <w:p>
            <w:pPr>
              <w:spacing w:line="400" w:lineRule="exact"/>
              <w:jc w:val="center"/>
              <w:rPr>
                <w:rFonts w:hint="default" w:ascii="宋体" w:hAnsi="宋体" w:eastAsiaTheme="minorEastAsia"/>
                <w:color w:val="auto"/>
                <w:sz w:val="18"/>
                <w:szCs w:val="18"/>
                <w:highlight w:val="none"/>
                <w:lang w:val="en-US" w:eastAsia="zh-CN"/>
              </w:rPr>
            </w:pPr>
            <w:r>
              <w:rPr>
                <w:rFonts w:hint="eastAsia" w:ascii="宋体" w:hAnsi="宋体"/>
                <w:color w:val="auto"/>
                <w:sz w:val="18"/>
                <w:szCs w:val="18"/>
                <w:highlight w:val="none"/>
                <w:lang w:val="en-US" w:eastAsia="zh-CN"/>
              </w:rPr>
              <w:t>304</w:t>
            </w:r>
          </w:p>
        </w:tc>
        <w:tc>
          <w:tcPr>
            <w:tcW w:w="1599" w:type="dxa"/>
            <w:vAlign w:val="center"/>
          </w:tcPr>
          <w:p>
            <w:pPr>
              <w:keepNext w:val="0"/>
              <w:keepLines w:val="0"/>
              <w:widowControl/>
              <w:suppressLineNumbers w:val="0"/>
              <w:jc w:val="center"/>
              <w:textAlignment w:val="center"/>
              <w:rPr>
                <w:rFonts w:ascii="宋体" w:hAnsi="宋体"/>
                <w:sz w:val="18"/>
                <w:szCs w:val="18"/>
                <w:highlight w:val="none"/>
              </w:rPr>
            </w:pPr>
            <w:r>
              <w:rPr>
                <w:rFonts w:hint="eastAsia" w:ascii="宋体" w:hAnsi="宋体" w:eastAsia="宋体" w:cs="宋体"/>
                <w:i w:val="0"/>
                <w:iCs w:val="0"/>
                <w:color w:val="000000"/>
                <w:kern w:val="0"/>
                <w:sz w:val="18"/>
                <w:szCs w:val="18"/>
                <w:u w:val="none"/>
                <w:lang w:val="en-US" w:eastAsia="zh-CN" w:bidi="ar"/>
              </w:rPr>
              <w:t>10.72</w:t>
            </w:r>
          </w:p>
        </w:tc>
        <w:tc>
          <w:tcPr>
            <w:tcW w:w="789" w:type="dxa"/>
            <w:vAlign w:val="center"/>
          </w:tcPr>
          <w:p>
            <w:pPr>
              <w:spacing w:line="400" w:lineRule="exact"/>
              <w:jc w:val="center"/>
              <w:rPr>
                <w:rFonts w:hint="eastAsia" w:ascii="宋体" w:hAnsi="宋体" w:eastAsiaTheme="minorEastAsia"/>
                <w:sz w:val="18"/>
                <w:szCs w:val="18"/>
                <w:highlight w:val="none"/>
                <w:lang w:eastAsia="zh-CN"/>
              </w:rPr>
            </w:pPr>
            <w:r>
              <w:rPr>
                <w:rFonts w:hint="eastAsia" w:ascii="宋体" w:hAnsi="宋体"/>
                <w:sz w:val="18"/>
                <w:szCs w:val="18"/>
                <w:highlight w:val="none"/>
              </w:rPr>
              <w:t>1</w:t>
            </w:r>
            <w:r>
              <w:rPr>
                <w:rFonts w:hint="eastAsia" w:ascii="宋体" w:hAnsi="宋体"/>
                <w:sz w:val="18"/>
                <w:szCs w:val="18"/>
                <w:highlight w:val="none"/>
                <w:lang w:val="en-US" w:eastAsia="zh-CN"/>
              </w:rPr>
              <w:t>6</w:t>
            </w:r>
          </w:p>
        </w:tc>
        <w:tc>
          <w:tcPr>
            <w:tcW w:w="1253" w:type="dxa"/>
            <w:vAlign w:val="center"/>
          </w:tcPr>
          <w:p>
            <w:pPr>
              <w:keepNext w:val="0"/>
              <w:keepLines w:val="0"/>
              <w:widowControl/>
              <w:suppressLineNumbers w:val="0"/>
              <w:jc w:val="center"/>
              <w:textAlignment w:val="center"/>
              <w:rPr>
                <w:rFonts w:ascii="宋体" w:hAnsi="宋体"/>
                <w:sz w:val="18"/>
                <w:szCs w:val="18"/>
              </w:rPr>
            </w:pPr>
            <w:r>
              <w:rPr>
                <w:rFonts w:hint="eastAsia" w:ascii="宋体" w:hAnsi="宋体" w:eastAsia="宋体" w:cs="宋体"/>
                <w:i w:val="0"/>
                <w:iCs w:val="0"/>
                <w:color w:val="000000"/>
                <w:kern w:val="0"/>
                <w:sz w:val="18"/>
                <w:szCs w:val="18"/>
                <w:u w:val="none"/>
                <w:lang w:val="en-US" w:eastAsia="zh-CN" w:bidi="ar"/>
              </w:rPr>
              <w:t>11.89</w:t>
            </w:r>
          </w:p>
        </w:tc>
        <w:tc>
          <w:tcPr>
            <w:tcW w:w="1030" w:type="dxa"/>
            <w:vAlign w:val="center"/>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400" w:lineRule="exact"/>
              <w:rPr>
                <w:rFonts w:ascii="宋体" w:hAnsi="宋体"/>
                <w:b/>
                <w:sz w:val="18"/>
                <w:szCs w:val="18"/>
              </w:rPr>
            </w:pPr>
          </w:p>
        </w:tc>
        <w:tc>
          <w:tcPr>
            <w:tcW w:w="1908" w:type="dxa"/>
            <w:gridSpan w:val="2"/>
            <w:vAlign w:val="center"/>
          </w:tcPr>
          <w:p>
            <w:pPr>
              <w:spacing w:line="400" w:lineRule="exact"/>
              <w:jc w:val="center"/>
              <w:rPr>
                <w:rFonts w:hint="eastAsia" w:ascii="宋体" w:hAnsi="宋体"/>
                <w:sz w:val="18"/>
                <w:szCs w:val="18"/>
                <w:highlight w:val="none"/>
              </w:rPr>
            </w:pPr>
            <w:r>
              <w:rPr>
                <w:rFonts w:hint="eastAsia" w:ascii="宋体" w:hAnsi="宋体"/>
                <w:sz w:val="18"/>
                <w:szCs w:val="18"/>
                <w:highlight w:val="none"/>
              </w:rPr>
              <w:t>其它教育活动</w:t>
            </w:r>
          </w:p>
        </w:tc>
        <w:tc>
          <w:tcPr>
            <w:tcW w:w="1065" w:type="dxa"/>
            <w:vAlign w:val="center"/>
          </w:tcPr>
          <w:p>
            <w:pPr>
              <w:spacing w:line="400" w:lineRule="exact"/>
              <w:jc w:val="center"/>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118</w:t>
            </w:r>
          </w:p>
        </w:tc>
        <w:tc>
          <w:tcPr>
            <w:tcW w:w="1599" w:type="dxa"/>
            <w:vAlign w:val="center"/>
          </w:tcPr>
          <w:p>
            <w:pPr>
              <w:keepNext w:val="0"/>
              <w:keepLines w:val="0"/>
              <w:widowControl/>
              <w:suppressLineNumbers w:val="0"/>
              <w:jc w:val="center"/>
              <w:textAlignment w:val="center"/>
              <w:rPr>
                <w:rFonts w:ascii="宋体" w:hAnsi="宋体"/>
                <w:sz w:val="18"/>
                <w:szCs w:val="18"/>
                <w:highlight w:val="none"/>
              </w:rPr>
            </w:pPr>
            <w:r>
              <w:rPr>
                <w:rFonts w:hint="eastAsia" w:ascii="宋体" w:hAnsi="宋体" w:eastAsia="宋体" w:cs="宋体"/>
                <w:i w:val="0"/>
                <w:iCs w:val="0"/>
                <w:color w:val="000000"/>
                <w:kern w:val="0"/>
                <w:sz w:val="18"/>
                <w:szCs w:val="18"/>
                <w:u w:val="none"/>
                <w:lang w:val="en-US" w:eastAsia="zh-CN" w:bidi="ar"/>
              </w:rPr>
              <w:t>4.16</w:t>
            </w:r>
          </w:p>
        </w:tc>
        <w:tc>
          <w:tcPr>
            <w:tcW w:w="789" w:type="dxa"/>
            <w:vAlign w:val="center"/>
          </w:tcPr>
          <w:p>
            <w:pPr>
              <w:spacing w:line="400" w:lineRule="exact"/>
              <w:jc w:val="center"/>
              <w:rPr>
                <w:rFonts w:hint="eastAsia" w:ascii="宋体" w:hAnsi="宋体" w:eastAsiaTheme="minorEastAsia"/>
                <w:sz w:val="18"/>
                <w:szCs w:val="18"/>
                <w:highlight w:val="none"/>
                <w:lang w:val="en-US" w:eastAsia="zh-CN"/>
              </w:rPr>
            </w:pPr>
            <w:r>
              <w:rPr>
                <w:rFonts w:hint="eastAsia" w:ascii="宋体" w:hAnsi="宋体"/>
                <w:sz w:val="18"/>
                <w:szCs w:val="18"/>
                <w:highlight w:val="none"/>
                <w:lang w:val="en-US" w:eastAsia="zh-CN"/>
              </w:rPr>
              <w:t>4</w:t>
            </w:r>
          </w:p>
        </w:tc>
        <w:tc>
          <w:tcPr>
            <w:tcW w:w="1253" w:type="dxa"/>
            <w:vAlign w:val="center"/>
          </w:tcPr>
          <w:p>
            <w:pPr>
              <w:keepNext w:val="0"/>
              <w:keepLines w:val="0"/>
              <w:widowControl/>
              <w:suppressLineNumbers w:val="0"/>
              <w:jc w:val="center"/>
              <w:textAlignment w:val="center"/>
              <w:rPr>
                <w:rFonts w:ascii="宋体" w:hAnsi="宋体"/>
                <w:sz w:val="18"/>
                <w:szCs w:val="18"/>
              </w:rPr>
            </w:pPr>
            <w:r>
              <w:rPr>
                <w:rFonts w:hint="eastAsia" w:ascii="宋体" w:hAnsi="宋体" w:eastAsia="宋体" w:cs="宋体"/>
                <w:i w:val="0"/>
                <w:iCs w:val="0"/>
                <w:color w:val="000000"/>
                <w:kern w:val="0"/>
                <w:sz w:val="18"/>
                <w:szCs w:val="18"/>
                <w:u w:val="none"/>
                <w:lang w:val="en-US" w:eastAsia="zh-CN" w:bidi="ar"/>
              </w:rPr>
              <w:t>2.97</w:t>
            </w:r>
          </w:p>
        </w:tc>
        <w:tc>
          <w:tcPr>
            <w:tcW w:w="1030" w:type="dxa"/>
            <w:vAlign w:val="center"/>
          </w:tcPr>
          <w:p>
            <w:pPr>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gridSpan w:val="3"/>
            <w:vAlign w:val="center"/>
          </w:tcPr>
          <w:p>
            <w:pPr>
              <w:spacing w:line="400" w:lineRule="exact"/>
              <w:jc w:val="center"/>
              <w:rPr>
                <w:rFonts w:ascii="宋体" w:hAnsi="宋体"/>
                <w:b/>
                <w:sz w:val="18"/>
                <w:szCs w:val="18"/>
              </w:rPr>
            </w:pPr>
            <w:r>
              <w:rPr>
                <w:rFonts w:hint="eastAsia" w:ascii="宋体" w:hAnsi="宋体"/>
                <w:b/>
                <w:sz w:val="18"/>
                <w:szCs w:val="18"/>
              </w:rPr>
              <w:t>合   计</w:t>
            </w:r>
          </w:p>
        </w:tc>
        <w:tc>
          <w:tcPr>
            <w:tcW w:w="1065" w:type="dxa"/>
            <w:vAlign w:val="center"/>
          </w:tcPr>
          <w:p>
            <w:pPr>
              <w:spacing w:line="400" w:lineRule="exact"/>
              <w:jc w:val="center"/>
              <w:rPr>
                <w:rFonts w:hint="default" w:ascii="宋体" w:hAnsi="宋体" w:eastAsiaTheme="minorEastAsia"/>
                <w:b/>
                <w:sz w:val="18"/>
                <w:szCs w:val="18"/>
                <w:lang w:val="en-US" w:eastAsia="zh-CN"/>
              </w:rPr>
            </w:pPr>
            <w:r>
              <w:rPr>
                <w:rStyle w:val="20"/>
                <w:rFonts w:hint="eastAsia"/>
                <w:lang w:val="en-US" w:eastAsia="zh-CN"/>
              </w:rPr>
              <w:t>2838</w:t>
            </w:r>
          </w:p>
        </w:tc>
        <w:tc>
          <w:tcPr>
            <w:tcW w:w="1599" w:type="dxa"/>
            <w:vAlign w:val="center"/>
          </w:tcPr>
          <w:p>
            <w:pPr>
              <w:keepNext w:val="0"/>
              <w:keepLines w:val="0"/>
              <w:widowControl/>
              <w:suppressLineNumbers w:val="0"/>
              <w:jc w:val="center"/>
              <w:textAlignment w:val="center"/>
              <w:rPr>
                <w:rFonts w:ascii="宋体" w:hAnsi="宋体"/>
                <w:b/>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789" w:type="dxa"/>
            <w:vAlign w:val="center"/>
          </w:tcPr>
          <w:p>
            <w:pPr>
              <w:spacing w:line="400" w:lineRule="exact"/>
              <w:jc w:val="center"/>
              <w:rPr>
                <w:rFonts w:hint="default" w:ascii="宋体" w:hAnsi="宋体" w:eastAsiaTheme="minorEastAsia"/>
                <w:b/>
                <w:sz w:val="18"/>
                <w:szCs w:val="18"/>
                <w:lang w:val="en-US" w:eastAsia="zh-CN"/>
              </w:rPr>
            </w:pPr>
            <w:r>
              <w:rPr>
                <w:rFonts w:hint="eastAsia" w:ascii="宋体" w:hAnsi="宋体"/>
                <w:b/>
                <w:sz w:val="18"/>
                <w:szCs w:val="18"/>
                <w:lang w:val="en-US" w:eastAsia="zh-CN"/>
              </w:rPr>
              <w:t>134.0</w:t>
            </w:r>
          </w:p>
        </w:tc>
        <w:tc>
          <w:tcPr>
            <w:tcW w:w="1253" w:type="dxa"/>
            <w:vAlign w:val="center"/>
          </w:tcPr>
          <w:p>
            <w:pPr>
              <w:spacing w:line="400" w:lineRule="exact"/>
              <w:jc w:val="center"/>
              <w:rPr>
                <w:rFonts w:ascii="宋体" w:hAnsi="宋体"/>
                <w:b/>
                <w:sz w:val="18"/>
                <w:szCs w:val="18"/>
              </w:rPr>
            </w:pPr>
          </w:p>
        </w:tc>
        <w:tc>
          <w:tcPr>
            <w:tcW w:w="1030" w:type="dxa"/>
            <w:vAlign w:val="center"/>
          </w:tcPr>
          <w:p>
            <w:pPr>
              <w:spacing w:line="400" w:lineRule="exac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gridSpan w:val="2"/>
            <w:vMerge w:val="restart"/>
            <w:vAlign w:val="center"/>
          </w:tcPr>
          <w:p>
            <w:pPr>
              <w:spacing w:line="400" w:lineRule="exact"/>
              <w:jc w:val="center"/>
              <w:rPr>
                <w:rFonts w:ascii="宋体" w:hAnsi="宋体"/>
                <w:sz w:val="18"/>
                <w:szCs w:val="18"/>
              </w:rPr>
            </w:pPr>
            <w:r>
              <w:rPr>
                <w:rFonts w:hint="eastAsia" w:ascii="宋体" w:hAnsi="宋体"/>
                <w:sz w:val="18"/>
                <w:szCs w:val="18"/>
              </w:rPr>
              <w:t>理论实践教学比</w:t>
            </w:r>
          </w:p>
        </w:tc>
        <w:tc>
          <w:tcPr>
            <w:tcW w:w="1324" w:type="dxa"/>
            <w:vAlign w:val="center"/>
          </w:tcPr>
          <w:p>
            <w:pPr>
              <w:spacing w:line="400" w:lineRule="exact"/>
              <w:jc w:val="center"/>
              <w:rPr>
                <w:rFonts w:ascii="宋体" w:hAnsi="宋体"/>
                <w:sz w:val="18"/>
                <w:szCs w:val="18"/>
              </w:rPr>
            </w:pPr>
            <w:r>
              <w:rPr>
                <w:rFonts w:hint="eastAsia" w:ascii="宋体" w:hAnsi="宋体"/>
                <w:sz w:val="18"/>
                <w:szCs w:val="18"/>
              </w:rPr>
              <w:t>理论教学</w:t>
            </w:r>
          </w:p>
        </w:tc>
        <w:tc>
          <w:tcPr>
            <w:tcW w:w="1065" w:type="dxa"/>
            <w:vAlign w:val="center"/>
          </w:tcPr>
          <w:p>
            <w:pPr>
              <w:keepNext w:val="0"/>
              <w:keepLines w:val="0"/>
              <w:widowControl/>
              <w:suppressLineNumbers w:val="0"/>
              <w:jc w:val="center"/>
              <w:textAlignment w:val="center"/>
              <w:rPr>
                <w:rFonts w:hint="default" w:ascii="宋体" w:hAnsi="宋体" w:eastAsiaTheme="minorEastAsia"/>
                <w:b/>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1133</w:t>
            </w:r>
          </w:p>
        </w:tc>
        <w:tc>
          <w:tcPr>
            <w:tcW w:w="1599" w:type="dxa"/>
            <w:vAlign w:val="center"/>
          </w:tcPr>
          <w:p>
            <w:pPr>
              <w:keepNext w:val="0"/>
              <w:keepLines w:val="0"/>
              <w:widowControl/>
              <w:suppressLineNumbers w:val="0"/>
              <w:jc w:val="center"/>
              <w:textAlignment w:val="center"/>
              <w:rPr>
                <w:rFonts w:ascii="宋体" w:hAnsi="宋体"/>
                <w:b/>
                <w:sz w:val="18"/>
                <w:szCs w:val="18"/>
              </w:rPr>
            </w:pPr>
            <w:r>
              <w:rPr>
                <w:rFonts w:hint="eastAsia" w:ascii="宋体" w:hAnsi="宋体" w:eastAsia="宋体" w:cs="宋体"/>
                <w:i w:val="0"/>
                <w:iCs w:val="0"/>
                <w:color w:val="000000"/>
                <w:kern w:val="0"/>
                <w:sz w:val="18"/>
                <w:szCs w:val="18"/>
                <w:u w:val="none"/>
                <w:lang w:val="en-US" w:eastAsia="zh-CN" w:bidi="ar"/>
              </w:rPr>
              <w:t>38.57</w:t>
            </w:r>
          </w:p>
        </w:tc>
        <w:tc>
          <w:tcPr>
            <w:tcW w:w="789" w:type="dxa"/>
          </w:tcPr>
          <w:p>
            <w:pPr>
              <w:spacing w:line="400" w:lineRule="exact"/>
              <w:jc w:val="center"/>
              <w:rPr>
                <w:rFonts w:ascii="宋体" w:hAnsi="宋体"/>
                <w:b/>
                <w:sz w:val="18"/>
                <w:szCs w:val="18"/>
              </w:rPr>
            </w:pPr>
            <w:r>
              <w:rPr>
                <w:rFonts w:hint="eastAsia" w:asciiTheme="minorEastAsia" w:hAnsiTheme="minorEastAsia"/>
                <w:sz w:val="18"/>
                <w:szCs w:val="18"/>
              </w:rPr>
              <w:t>—</w:t>
            </w:r>
          </w:p>
        </w:tc>
        <w:tc>
          <w:tcPr>
            <w:tcW w:w="1253" w:type="dxa"/>
          </w:tcPr>
          <w:p>
            <w:pPr>
              <w:spacing w:line="400" w:lineRule="exact"/>
              <w:jc w:val="center"/>
              <w:rPr>
                <w:rFonts w:ascii="宋体" w:hAnsi="宋体"/>
                <w:b/>
                <w:sz w:val="18"/>
                <w:szCs w:val="18"/>
              </w:rPr>
            </w:pPr>
            <w:r>
              <w:rPr>
                <w:rFonts w:hint="eastAsia" w:asciiTheme="minorEastAsia" w:hAnsiTheme="minorEastAsia"/>
                <w:sz w:val="18"/>
                <w:szCs w:val="18"/>
              </w:rPr>
              <w:t>—</w:t>
            </w:r>
          </w:p>
        </w:tc>
        <w:tc>
          <w:tcPr>
            <w:tcW w:w="1030" w:type="dxa"/>
            <w:vAlign w:val="center"/>
          </w:tcPr>
          <w:p>
            <w:pPr>
              <w:spacing w:line="400" w:lineRule="exac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gridSpan w:val="2"/>
            <w:vMerge w:val="continue"/>
            <w:vAlign w:val="center"/>
          </w:tcPr>
          <w:p>
            <w:pPr>
              <w:spacing w:line="400" w:lineRule="exact"/>
              <w:rPr>
                <w:rFonts w:ascii="宋体" w:hAnsi="宋体"/>
                <w:sz w:val="18"/>
                <w:szCs w:val="18"/>
              </w:rPr>
            </w:pPr>
          </w:p>
        </w:tc>
        <w:tc>
          <w:tcPr>
            <w:tcW w:w="1324" w:type="dxa"/>
            <w:vAlign w:val="center"/>
          </w:tcPr>
          <w:p>
            <w:pPr>
              <w:spacing w:line="400" w:lineRule="exact"/>
              <w:jc w:val="center"/>
              <w:rPr>
                <w:rFonts w:ascii="宋体" w:hAnsi="宋体"/>
                <w:sz w:val="18"/>
                <w:szCs w:val="18"/>
              </w:rPr>
            </w:pPr>
            <w:r>
              <w:rPr>
                <w:rFonts w:hint="eastAsia" w:ascii="宋体" w:hAnsi="宋体"/>
                <w:sz w:val="18"/>
                <w:szCs w:val="18"/>
              </w:rPr>
              <w:t>实践教学</w:t>
            </w:r>
          </w:p>
        </w:tc>
        <w:tc>
          <w:tcPr>
            <w:tcW w:w="1065" w:type="dxa"/>
            <w:vAlign w:val="center"/>
          </w:tcPr>
          <w:p>
            <w:pPr>
              <w:keepNext w:val="0"/>
              <w:keepLines w:val="0"/>
              <w:widowControl/>
              <w:suppressLineNumbers w:val="0"/>
              <w:jc w:val="center"/>
              <w:textAlignment w:val="center"/>
              <w:rPr>
                <w:rFonts w:hint="default" w:ascii="宋体" w:hAnsi="宋体" w:eastAsiaTheme="minorEastAsia"/>
                <w:b/>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1705</w:t>
            </w:r>
            <w:bookmarkStart w:id="35" w:name="_GoBack"/>
            <w:bookmarkEnd w:id="35"/>
          </w:p>
        </w:tc>
        <w:tc>
          <w:tcPr>
            <w:tcW w:w="1599" w:type="dxa"/>
            <w:vAlign w:val="center"/>
          </w:tcPr>
          <w:p>
            <w:pPr>
              <w:keepNext w:val="0"/>
              <w:keepLines w:val="0"/>
              <w:widowControl/>
              <w:suppressLineNumbers w:val="0"/>
              <w:jc w:val="center"/>
              <w:textAlignment w:val="center"/>
              <w:rPr>
                <w:rFonts w:ascii="宋体" w:hAnsi="宋体"/>
                <w:b/>
                <w:sz w:val="18"/>
                <w:szCs w:val="18"/>
              </w:rPr>
            </w:pPr>
            <w:r>
              <w:rPr>
                <w:rFonts w:hint="eastAsia" w:ascii="宋体" w:hAnsi="宋体" w:eastAsia="宋体" w:cs="宋体"/>
                <w:i w:val="0"/>
                <w:iCs w:val="0"/>
                <w:color w:val="000000"/>
                <w:kern w:val="0"/>
                <w:sz w:val="18"/>
                <w:szCs w:val="18"/>
                <w:u w:val="none"/>
                <w:lang w:val="en-US" w:eastAsia="zh-CN" w:bidi="ar"/>
              </w:rPr>
              <w:t>61.43</w:t>
            </w:r>
          </w:p>
        </w:tc>
        <w:tc>
          <w:tcPr>
            <w:tcW w:w="789" w:type="dxa"/>
            <w:vAlign w:val="center"/>
          </w:tcPr>
          <w:p>
            <w:pPr>
              <w:spacing w:line="400" w:lineRule="exact"/>
              <w:jc w:val="center"/>
              <w:rPr>
                <w:rFonts w:ascii="宋体" w:hAnsi="宋体"/>
                <w:b/>
                <w:sz w:val="18"/>
                <w:szCs w:val="18"/>
              </w:rPr>
            </w:pPr>
            <w:r>
              <w:rPr>
                <w:rFonts w:hint="eastAsia" w:asciiTheme="minorEastAsia" w:hAnsiTheme="minorEastAsia"/>
                <w:sz w:val="18"/>
                <w:szCs w:val="18"/>
              </w:rPr>
              <w:t>—</w:t>
            </w:r>
          </w:p>
        </w:tc>
        <w:tc>
          <w:tcPr>
            <w:tcW w:w="1253" w:type="dxa"/>
            <w:vAlign w:val="center"/>
          </w:tcPr>
          <w:p>
            <w:pPr>
              <w:spacing w:line="400" w:lineRule="exact"/>
              <w:jc w:val="center"/>
              <w:rPr>
                <w:rFonts w:ascii="宋体" w:hAnsi="宋体"/>
                <w:b/>
                <w:sz w:val="18"/>
                <w:szCs w:val="18"/>
              </w:rPr>
            </w:pPr>
            <w:r>
              <w:rPr>
                <w:rFonts w:hint="eastAsia" w:asciiTheme="minorEastAsia" w:hAnsiTheme="minorEastAsia"/>
                <w:sz w:val="18"/>
                <w:szCs w:val="18"/>
              </w:rPr>
              <w:t>—</w:t>
            </w:r>
          </w:p>
        </w:tc>
        <w:tc>
          <w:tcPr>
            <w:tcW w:w="1030" w:type="dxa"/>
            <w:vAlign w:val="center"/>
          </w:tcPr>
          <w:p>
            <w:pPr>
              <w:spacing w:line="400" w:lineRule="exac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gridSpan w:val="2"/>
            <w:vAlign w:val="center"/>
          </w:tcPr>
          <w:p>
            <w:pPr>
              <w:spacing w:line="400" w:lineRule="exact"/>
              <w:rPr>
                <w:rFonts w:ascii="宋体" w:hAnsi="宋体"/>
                <w:sz w:val="18"/>
                <w:szCs w:val="18"/>
              </w:rPr>
            </w:pPr>
            <w:bookmarkStart w:id="21" w:name="_Toc89793281"/>
          </w:p>
        </w:tc>
        <w:tc>
          <w:tcPr>
            <w:tcW w:w="1324" w:type="dxa"/>
            <w:vAlign w:val="center"/>
          </w:tcPr>
          <w:p>
            <w:pPr>
              <w:spacing w:line="400" w:lineRule="exact"/>
              <w:jc w:val="center"/>
              <w:rPr>
                <w:rFonts w:ascii="宋体" w:hAnsi="宋体"/>
                <w:sz w:val="18"/>
                <w:szCs w:val="18"/>
              </w:rPr>
            </w:pPr>
          </w:p>
        </w:tc>
        <w:tc>
          <w:tcPr>
            <w:tcW w:w="1065" w:type="dxa"/>
            <w:vAlign w:val="center"/>
          </w:tcPr>
          <w:p>
            <w:pPr>
              <w:spacing w:line="400" w:lineRule="exact"/>
              <w:jc w:val="center"/>
              <w:rPr>
                <w:rFonts w:ascii="宋体" w:hAnsi="宋体"/>
                <w:b/>
                <w:sz w:val="18"/>
                <w:szCs w:val="18"/>
              </w:rPr>
            </w:pPr>
          </w:p>
        </w:tc>
        <w:tc>
          <w:tcPr>
            <w:tcW w:w="1599" w:type="dxa"/>
            <w:vAlign w:val="center"/>
          </w:tcPr>
          <w:p>
            <w:pPr>
              <w:spacing w:line="400" w:lineRule="exact"/>
              <w:jc w:val="center"/>
              <w:rPr>
                <w:rFonts w:ascii="宋体" w:hAnsi="宋体"/>
                <w:b/>
                <w:sz w:val="18"/>
                <w:szCs w:val="18"/>
              </w:rPr>
            </w:pPr>
          </w:p>
        </w:tc>
        <w:tc>
          <w:tcPr>
            <w:tcW w:w="789" w:type="dxa"/>
            <w:vAlign w:val="center"/>
          </w:tcPr>
          <w:p>
            <w:pPr>
              <w:spacing w:line="400" w:lineRule="exact"/>
              <w:jc w:val="center"/>
              <w:rPr>
                <w:rFonts w:asciiTheme="minorEastAsia" w:hAnsiTheme="minorEastAsia"/>
                <w:sz w:val="18"/>
                <w:szCs w:val="18"/>
              </w:rPr>
            </w:pPr>
          </w:p>
        </w:tc>
        <w:tc>
          <w:tcPr>
            <w:tcW w:w="1253" w:type="dxa"/>
            <w:vAlign w:val="center"/>
          </w:tcPr>
          <w:p>
            <w:pPr>
              <w:spacing w:line="400" w:lineRule="exact"/>
              <w:jc w:val="center"/>
              <w:rPr>
                <w:rFonts w:asciiTheme="minorEastAsia" w:hAnsiTheme="minorEastAsia"/>
                <w:sz w:val="18"/>
                <w:szCs w:val="18"/>
              </w:rPr>
            </w:pPr>
          </w:p>
        </w:tc>
        <w:tc>
          <w:tcPr>
            <w:tcW w:w="1030" w:type="dxa"/>
            <w:vAlign w:val="center"/>
          </w:tcPr>
          <w:p>
            <w:pPr>
              <w:spacing w:line="400" w:lineRule="exact"/>
              <w:rPr>
                <w:rFonts w:ascii="宋体" w:hAnsi="宋体"/>
                <w:b/>
                <w:sz w:val="18"/>
                <w:szCs w:val="18"/>
              </w:rPr>
            </w:pPr>
          </w:p>
        </w:tc>
      </w:tr>
    </w:tbl>
    <w:p>
      <w:pPr>
        <w:pStyle w:val="3"/>
      </w:pPr>
      <w:r>
        <w:rPr>
          <w:rFonts w:hint="eastAsia"/>
        </w:rPr>
        <w:t>七、教学进程总体安排</w:t>
      </w:r>
      <w:bookmarkEnd w:id="21"/>
    </w:p>
    <w:p>
      <w:pPr>
        <w:pStyle w:val="4"/>
      </w:pPr>
      <w:bookmarkStart w:id="22" w:name="_Toc89793282"/>
      <w:r>
        <w:rPr>
          <w:rFonts w:hint="eastAsia"/>
        </w:rPr>
        <w:t>（一）专业教学计划表</w:t>
      </w:r>
      <w:bookmarkEnd w:id="22"/>
    </w:p>
    <w:p>
      <w:pPr>
        <w:ind w:firstLine="420" w:firstLineChars="200"/>
      </w:pPr>
      <w:r>
        <w:rPr>
          <w:rFonts w:hint="eastAsia"/>
        </w:rPr>
        <w:t>本专业教学计划安排见表9（附后）。</w:t>
      </w:r>
    </w:p>
    <w:p>
      <w:pPr>
        <w:widowControl/>
        <w:jc w:val="left"/>
      </w:pPr>
    </w:p>
    <w:p>
      <w:pPr>
        <w:pStyle w:val="4"/>
      </w:pPr>
      <w:bookmarkStart w:id="23" w:name="_Toc89793283"/>
      <w:r>
        <w:rPr>
          <w:rFonts w:hint="eastAsia"/>
        </w:rPr>
        <w:t>（二）专业教育教学活动时间安排表</w:t>
      </w:r>
      <w:bookmarkEnd w:id="23"/>
    </w:p>
    <w:p>
      <w:pPr>
        <w:ind w:firstLine="420" w:firstLineChars="200"/>
      </w:pPr>
      <w:r>
        <w:rPr>
          <w:rFonts w:hint="eastAsia"/>
        </w:rPr>
        <w:t>本专业教育教学活动时间安排见表10。</w:t>
      </w:r>
    </w:p>
    <w:p>
      <w:pPr>
        <w:jc w:val="center"/>
      </w:pPr>
      <w:r>
        <w:rPr>
          <w:rFonts w:hint="eastAsia"/>
        </w:rPr>
        <w:t>表10</w:t>
      </w:r>
      <w:r>
        <w:t xml:space="preserve"> </w:t>
      </w:r>
      <w:r>
        <w:rPr>
          <w:rFonts w:hint="eastAsia"/>
        </w:rPr>
        <w:t>专业教育教学活动时间安排表</w:t>
      </w:r>
    </w:p>
    <w:tbl>
      <w:tblPr>
        <w:tblStyle w:val="15"/>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931"/>
        <w:gridCol w:w="2120"/>
        <w:gridCol w:w="720"/>
        <w:gridCol w:w="774"/>
        <w:gridCol w:w="766"/>
        <w:gridCol w:w="685"/>
        <w:gridCol w:w="630"/>
        <w:gridCol w:w="689"/>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2" w:type="dxa"/>
            <w:vMerge w:val="restart"/>
            <w:vAlign w:val="center"/>
          </w:tcPr>
          <w:p>
            <w:pPr>
              <w:rPr>
                <w:rFonts w:asciiTheme="minorEastAsia" w:hAnsiTheme="minorEastAsia"/>
                <w:sz w:val="18"/>
                <w:szCs w:val="18"/>
              </w:rPr>
            </w:pPr>
            <w:r>
              <w:rPr>
                <w:rFonts w:hint="eastAsia" w:asciiTheme="minorEastAsia" w:hAnsiTheme="minorEastAsia"/>
                <w:sz w:val="18"/>
                <w:szCs w:val="18"/>
              </w:rPr>
              <w:t>序号</w:t>
            </w:r>
          </w:p>
        </w:tc>
        <w:tc>
          <w:tcPr>
            <w:tcW w:w="3051" w:type="dxa"/>
            <w:gridSpan w:val="2"/>
            <w:vMerge w:val="restart"/>
            <w:vAlign w:val="center"/>
          </w:tcPr>
          <w:p>
            <w:pPr>
              <w:jc w:val="center"/>
              <w:rPr>
                <w:rFonts w:asciiTheme="minorEastAsia" w:hAnsiTheme="minorEastAsia"/>
                <w:sz w:val="18"/>
                <w:szCs w:val="18"/>
              </w:rPr>
            </w:pPr>
            <w:r>
              <w:rPr>
                <w:rFonts w:hint="eastAsia" w:asciiTheme="minorEastAsia" w:hAnsiTheme="minorEastAsia"/>
                <w:sz w:val="18"/>
                <w:szCs w:val="18"/>
              </w:rPr>
              <w:t>教育教学活动</w:t>
            </w:r>
          </w:p>
        </w:tc>
        <w:tc>
          <w:tcPr>
            <w:tcW w:w="4264" w:type="dxa"/>
            <w:gridSpan w:val="6"/>
            <w:vAlign w:val="center"/>
          </w:tcPr>
          <w:p>
            <w:pPr>
              <w:jc w:val="center"/>
              <w:rPr>
                <w:rFonts w:asciiTheme="minorEastAsia" w:hAnsiTheme="minorEastAsia"/>
                <w:sz w:val="18"/>
                <w:szCs w:val="18"/>
              </w:rPr>
            </w:pPr>
            <w:r>
              <w:rPr>
                <w:rFonts w:hint="eastAsia" w:asciiTheme="minorEastAsia" w:hAnsiTheme="minorEastAsia"/>
                <w:sz w:val="18"/>
                <w:szCs w:val="18"/>
              </w:rPr>
              <w:t>各学期时间分配（周）</w:t>
            </w:r>
          </w:p>
        </w:tc>
        <w:tc>
          <w:tcPr>
            <w:tcW w:w="1023" w:type="dxa"/>
            <w:vMerge w:val="restart"/>
            <w:vAlign w:val="center"/>
          </w:tcPr>
          <w:p>
            <w:pPr>
              <w:jc w:val="center"/>
              <w:rPr>
                <w:rFonts w:asciiTheme="minorEastAsia" w:hAnsiTheme="minorEastAsia"/>
                <w:sz w:val="18"/>
                <w:szCs w:val="18"/>
              </w:rPr>
            </w:pPr>
            <w:r>
              <w:rPr>
                <w:rFonts w:hint="eastAsia" w:asciiTheme="minorEastAsia" w:hAnsiTheme="minorEastAsia"/>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Merge w:val="continue"/>
            <w:vAlign w:val="center"/>
          </w:tcPr>
          <w:p>
            <w:pPr>
              <w:rPr>
                <w:rFonts w:asciiTheme="minorEastAsia" w:hAnsiTheme="minorEastAsia"/>
                <w:sz w:val="18"/>
                <w:szCs w:val="18"/>
              </w:rPr>
            </w:pPr>
          </w:p>
        </w:tc>
        <w:tc>
          <w:tcPr>
            <w:tcW w:w="3051" w:type="dxa"/>
            <w:gridSpan w:val="2"/>
            <w:vMerge w:val="continue"/>
            <w:vAlign w:val="center"/>
          </w:tcPr>
          <w:p>
            <w:pPr>
              <w:rPr>
                <w:rFonts w:asciiTheme="minorEastAsia" w:hAnsiTheme="minorEastAsia"/>
                <w:sz w:val="18"/>
                <w:szCs w:val="18"/>
              </w:rPr>
            </w:pPr>
          </w:p>
        </w:tc>
        <w:tc>
          <w:tcPr>
            <w:tcW w:w="720" w:type="dxa"/>
            <w:vAlign w:val="center"/>
          </w:tcPr>
          <w:p>
            <w:pPr>
              <w:jc w:val="center"/>
              <w:rPr>
                <w:rFonts w:asciiTheme="minorEastAsia" w:hAnsiTheme="minorEastAsia"/>
                <w:sz w:val="18"/>
                <w:szCs w:val="18"/>
              </w:rPr>
            </w:pPr>
            <w:r>
              <w:rPr>
                <w:rFonts w:hint="eastAsia" w:asciiTheme="minorEastAsia" w:hAnsiTheme="minorEastAsia"/>
                <w:sz w:val="18"/>
                <w:szCs w:val="18"/>
              </w:rPr>
              <w:t>一</w:t>
            </w:r>
          </w:p>
        </w:tc>
        <w:tc>
          <w:tcPr>
            <w:tcW w:w="774" w:type="dxa"/>
            <w:vAlign w:val="center"/>
          </w:tcPr>
          <w:p>
            <w:pPr>
              <w:jc w:val="center"/>
              <w:rPr>
                <w:rFonts w:asciiTheme="minorEastAsia" w:hAnsiTheme="minorEastAsia"/>
                <w:sz w:val="18"/>
                <w:szCs w:val="18"/>
              </w:rPr>
            </w:pPr>
            <w:r>
              <w:rPr>
                <w:rFonts w:hint="eastAsia" w:asciiTheme="minorEastAsia" w:hAnsiTheme="minorEastAsia"/>
                <w:sz w:val="18"/>
                <w:szCs w:val="18"/>
              </w:rPr>
              <w:t>二</w:t>
            </w:r>
          </w:p>
        </w:tc>
        <w:tc>
          <w:tcPr>
            <w:tcW w:w="766" w:type="dxa"/>
            <w:vAlign w:val="center"/>
          </w:tcPr>
          <w:p>
            <w:pPr>
              <w:jc w:val="center"/>
              <w:rPr>
                <w:rFonts w:asciiTheme="minorEastAsia" w:hAnsiTheme="minorEastAsia"/>
                <w:sz w:val="18"/>
                <w:szCs w:val="18"/>
              </w:rPr>
            </w:pPr>
            <w:r>
              <w:rPr>
                <w:rFonts w:hint="eastAsia" w:asciiTheme="minorEastAsia" w:hAnsiTheme="minorEastAsia"/>
                <w:sz w:val="18"/>
                <w:szCs w:val="18"/>
              </w:rPr>
              <w:t>三</w:t>
            </w:r>
          </w:p>
        </w:tc>
        <w:tc>
          <w:tcPr>
            <w:tcW w:w="685" w:type="dxa"/>
            <w:vAlign w:val="center"/>
          </w:tcPr>
          <w:p>
            <w:pPr>
              <w:jc w:val="center"/>
              <w:rPr>
                <w:rFonts w:asciiTheme="minorEastAsia" w:hAnsiTheme="minorEastAsia"/>
                <w:sz w:val="18"/>
                <w:szCs w:val="18"/>
              </w:rPr>
            </w:pPr>
            <w:r>
              <w:rPr>
                <w:rFonts w:hint="eastAsia" w:asciiTheme="minorEastAsia" w:hAnsiTheme="minorEastAsia"/>
                <w:sz w:val="18"/>
                <w:szCs w:val="18"/>
              </w:rPr>
              <w:t>四</w:t>
            </w:r>
          </w:p>
        </w:tc>
        <w:tc>
          <w:tcPr>
            <w:tcW w:w="630" w:type="dxa"/>
            <w:vAlign w:val="center"/>
          </w:tcPr>
          <w:p>
            <w:pPr>
              <w:jc w:val="center"/>
              <w:rPr>
                <w:rFonts w:asciiTheme="minorEastAsia" w:hAnsiTheme="minorEastAsia"/>
                <w:sz w:val="18"/>
                <w:szCs w:val="18"/>
              </w:rPr>
            </w:pPr>
            <w:r>
              <w:rPr>
                <w:rFonts w:hint="eastAsia" w:asciiTheme="minorEastAsia" w:hAnsiTheme="minorEastAsia"/>
                <w:sz w:val="18"/>
                <w:szCs w:val="18"/>
              </w:rPr>
              <w:t>五</w:t>
            </w:r>
          </w:p>
        </w:tc>
        <w:tc>
          <w:tcPr>
            <w:tcW w:w="689" w:type="dxa"/>
            <w:vAlign w:val="center"/>
          </w:tcPr>
          <w:p>
            <w:pPr>
              <w:jc w:val="center"/>
              <w:rPr>
                <w:rFonts w:asciiTheme="minorEastAsia" w:hAnsiTheme="minorEastAsia"/>
                <w:sz w:val="18"/>
                <w:szCs w:val="18"/>
              </w:rPr>
            </w:pPr>
            <w:r>
              <w:rPr>
                <w:rFonts w:hint="eastAsia" w:asciiTheme="minorEastAsia" w:hAnsiTheme="minorEastAsia"/>
                <w:sz w:val="18"/>
                <w:szCs w:val="18"/>
              </w:rPr>
              <w:t>六</w:t>
            </w:r>
          </w:p>
        </w:tc>
        <w:tc>
          <w:tcPr>
            <w:tcW w:w="1023" w:type="dxa"/>
            <w:vMerge w:val="continue"/>
            <w:vAlign w:val="center"/>
          </w:tcPr>
          <w:p>
            <w:pPr>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931" w:type="dxa"/>
            <w:vAlign w:val="center"/>
          </w:tcPr>
          <w:p>
            <w:pPr>
              <w:rPr>
                <w:rFonts w:asciiTheme="minorEastAsia" w:hAnsiTheme="minorEastAsia"/>
                <w:sz w:val="18"/>
                <w:szCs w:val="18"/>
              </w:rPr>
            </w:pPr>
            <w:r>
              <w:rPr>
                <w:rFonts w:hint="eastAsia" w:asciiTheme="minorEastAsia" w:hAnsiTheme="minorEastAsia"/>
                <w:sz w:val="18"/>
                <w:szCs w:val="18"/>
              </w:rPr>
              <w:t>教学活动时间</w:t>
            </w:r>
          </w:p>
        </w:tc>
        <w:tc>
          <w:tcPr>
            <w:tcW w:w="2120" w:type="dxa"/>
            <w:vAlign w:val="center"/>
          </w:tcPr>
          <w:p>
            <w:pPr>
              <w:rPr>
                <w:rFonts w:asciiTheme="minorEastAsia" w:hAnsiTheme="minorEastAsia"/>
                <w:sz w:val="18"/>
                <w:szCs w:val="18"/>
              </w:rPr>
            </w:pPr>
            <w:r>
              <w:rPr>
                <w:rFonts w:hint="eastAsia" w:asciiTheme="minorEastAsia" w:hAnsiTheme="minorEastAsia"/>
                <w:sz w:val="18"/>
                <w:szCs w:val="18"/>
              </w:rPr>
              <w:t>理论教学、实践教学、职业技能等级证书培训</w:t>
            </w:r>
          </w:p>
        </w:tc>
        <w:tc>
          <w:tcPr>
            <w:tcW w:w="720" w:type="dxa"/>
            <w:vAlign w:val="center"/>
          </w:tcPr>
          <w:p>
            <w:pPr>
              <w:jc w:val="center"/>
              <w:rPr>
                <w:rFonts w:asciiTheme="minorEastAsia" w:hAnsiTheme="minorEastAsia"/>
                <w:sz w:val="18"/>
                <w:szCs w:val="18"/>
              </w:rPr>
            </w:pPr>
            <w:r>
              <w:rPr>
                <w:rFonts w:hint="eastAsia" w:asciiTheme="minorEastAsia" w:hAnsiTheme="minorEastAsia"/>
                <w:sz w:val="18"/>
                <w:szCs w:val="18"/>
              </w:rPr>
              <w:t>16</w:t>
            </w:r>
          </w:p>
        </w:tc>
        <w:tc>
          <w:tcPr>
            <w:tcW w:w="774" w:type="dxa"/>
            <w:vAlign w:val="center"/>
          </w:tcPr>
          <w:p>
            <w:pPr>
              <w:jc w:val="center"/>
              <w:rPr>
                <w:rFonts w:asciiTheme="minorEastAsia" w:hAnsiTheme="minorEastAsia"/>
                <w:sz w:val="18"/>
                <w:szCs w:val="18"/>
              </w:rPr>
            </w:pPr>
            <w:r>
              <w:rPr>
                <w:rFonts w:hint="eastAsia" w:asciiTheme="minorEastAsia" w:hAnsiTheme="minorEastAsia"/>
                <w:sz w:val="18"/>
                <w:szCs w:val="18"/>
              </w:rPr>
              <w:t>18</w:t>
            </w:r>
          </w:p>
        </w:tc>
        <w:tc>
          <w:tcPr>
            <w:tcW w:w="766" w:type="dxa"/>
            <w:vAlign w:val="center"/>
          </w:tcPr>
          <w:p>
            <w:pPr>
              <w:jc w:val="center"/>
              <w:rPr>
                <w:rFonts w:asciiTheme="minorEastAsia" w:hAnsiTheme="minorEastAsia"/>
                <w:sz w:val="18"/>
                <w:szCs w:val="18"/>
              </w:rPr>
            </w:pPr>
            <w:r>
              <w:rPr>
                <w:rFonts w:hint="eastAsia" w:asciiTheme="minorEastAsia" w:hAnsiTheme="minorEastAsia"/>
                <w:sz w:val="18"/>
                <w:szCs w:val="18"/>
              </w:rPr>
              <w:t>18</w:t>
            </w:r>
          </w:p>
        </w:tc>
        <w:tc>
          <w:tcPr>
            <w:tcW w:w="685" w:type="dxa"/>
            <w:vAlign w:val="center"/>
          </w:tcPr>
          <w:p>
            <w:pPr>
              <w:jc w:val="center"/>
              <w:rPr>
                <w:rFonts w:asciiTheme="minorEastAsia" w:hAnsiTheme="minorEastAsia"/>
                <w:sz w:val="18"/>
                <w:szCs w:val="18"/>
              </w:rPr>
            </w:pPr>
            <w:r>
              <w:rPr>
                <w:rFonts w:hint="eastAsia" w:asciiTheme="minorEastAsia" w:hAnsiTheme="minorEastAsia"/>
                <w:sz w:val="18"/>
                <w:szCs w:val="18"/>
              </w:rPr>
              <w:t>18</w:t>
            </w:r>
          </w:p>
        </w:tc>
        <w:tc>
          <w:tcPr>
            <w:tcW w:w="630" w:type="dxa"/>
            <w:vAlign w:val="center"/>
          </w:tcPr>
          <w:p>
            <w:pPr>
              <w:jc w:val="center"/>
              <w:rPr>
                <w:rFonts w:asciiTheme="minorEastAsia" w:hAnsiTheme="minorEastAsia"/>
                <w:sz w:val="18"/>
                <w:szCs w:val="18"/>
              </w:rPr>
            </w:pPr>
            <w:r>
              <w:rPr>
                <w:rFonts w:hint="eastAsia" w:asciiTheme="minorEastAsia" w:hAnsiTheme="minorEastAsia"/>
                <w:sz w:val="18"/>
                <w:szCs w:val="18"/>
              </w:rPr>
              <w:t>18</w:t>
            </w:r>
          </w:p>
        </w:tc>
        <w:tc>
          <w:tcPr>
            <w:tcW w:w="689" w:type="dxa"/>
            <w:vAlign w:val="center"/>
          </w:tcPr>
          <w:p>
            <w:pPr>
              <w:jc w:val="center"/>
              <w:rPr>
                <w:rFonts w:asciiTheme="minorEastAsia" w:hAnsiTheme="minorEastAsia"/>
                <w:sz w:val="18"/>
                <w:szCs w:val="18"/>
              </w:rPr>
            </w:pPr>
            <w:r>
              <w:rPr>
                <w:rFonts w:hint="eastAsia" w:asciiTheme="minorEastAsia" w:hAnsiTheme="minorEastAsia"/>
                <w:sz w:val="18"/>
                <w:szCs w:val="18"/>
              </w:rPr>
              <w:t>16</w:t>
            </w:r>
          </w:p>
        </w:tc>
        <w:tc>
          <w:tcPr>
            <w:tcW w:w="1023" w:type="dxa"/>
            <w:vAlign w:val="center"/>
          </w:tcPr>
          <w:p>
            <w:pPr>
              <w:jc w:val="center"/>
              <w:rPr>
                <w:rFonts w:asciiTheme="minorEastAsia" w:hAnsiTheme="minorEastAsia"/>
                <w:sz w:val="18"/>
                <w:szCs w:val="18"/>
              </w:rPr>
            </w:pPr>
            <w:r>
              <w:rPr>
                <w:rFonts w:hint="eastAsia" w:asciiTheme="minorEastAsia" w:hAnsiTheme="minorEastAsia"/>
                <w:sz w:val="18"/>
                <w:szCs w:val="18"/>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931" w:type="dxa"/>
            <w:vMerge w:val="restart"/>
            <w:vAlign w:val="center"/>
          </w:tcPr>
          <w:p>
            <w:pPr>
              <w:rPr>
                <w:rFonts w:asciiTheme="minorEastAsia" w:hAnsiTheme="minorEastAsia"/>
                <w:sz w:val="18"/>
                <w:szCs w:val="18"/>
              </w:rPr>
            </w:pPr>
            <w:r>
              <w:rPr>
                <w:rFonts w:hint="eastAsia" w:asciiTheme="minorEastAsia" w:hAnsiTheme="minorEastAsia"/>
                <w:sz w:val="18"/>
                <w:szCs w:val="18"/>
              </w:rPr>
              <w:t>其它教育活动时间</w:t>
            </w:r>
          </w:p>
        </w:tc>
        <w:tc>
          <w:tcPr>
            <w:tcW w:w="2120" w:type="dxa"/>
            <w:vAlign w:val="center"/>
          </w:tcPr>
          <w:p>
            <w:pPr>
              <w:rPr>
                <w:rFonts w:asciiTheme="minorEastAsia" w:hAnsiTheme="minorEastAsia"/>
                <w:sz w:val="18"/>
                <w:szCs w:val="18"/>
              </w:rPr>
            </w:pPr>
            <w:r>
              <w:rPr>
                <w:rFonts w:hint="eastAsia" w:asciiTheme="minorEastAsia" w:hAnsiTheme="minorEastAsia"/>
                <w:sz w:val="18"/>
                <w:szCs w:val="18"/>
              </w:rPr>
              <w:t>课程考核</w:t>
            </w:r>
          </w:p>
        </w:tc>
        <w:tc>
          <w:tcPr>
            <w:tcW w:w="720"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774"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766"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685"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630"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689" w:type="dxa"/>
            <w:vAlign w:val="center"/>
          </w:tcPr>
          <w:p>
            <w:pPr>
              <w:jc w:val="center"/>
              <w:rPr>
                <w:rFonts w:asciiTheme="minorEastAsia" w:hAnsiTheme="minorEastAsia"/>
                <w:sz w:val="18"/>
                <w:szCs w:val="18"/>
              </w:rPr>
            </w:pPr>
          </w:p>
        </w:tc>
        <w:tc>
          <w:tcPr>
            <w:tcW w:w="1023" w:type="dxa"/>
            <w:vAlign w:val="center"/>
          </w:tcPr>
          <w:p>
            <w:pPr>
              <w:jc w:val="center"/>
              <w:rPr>
                <w:rFonts w:asciiTheme="minorEastAsia" w:hAnsiTheme="minorEastAsia"/>
                <w:sz w:val="18"/>
                <w:szCs w:val="18"/>
              </w:rPr>
            </w:pPr>
            <w:r>
              <w:rPr>
                <w:rFonts w:hint="eastAsia" w:asciiTheme="minorEastAsia" w:hAnsi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931" w:type="dxa"/>
            <w:vMerge w:val="continue"/>
            <w:vAlign w:val="center"/>
          </w:tcPr>
          <w:p>
            <w:pPr>
              <w:rPr>
                <w:rFonts w:asciiTheme="minorEastAsia" w:hAnsiTheme="minorEastAsia"/>
                <w:sz w:val="18"/>
                <w:szCs w:val="18"/>
              </w:rPr>
            </w:pPr>
          </w:p>
        </w:tc>
        <w:tc>
          <w:tcPr>
            <w:tcW w:w="2120" w:type="dxa"/>
            <w:vAlign w:val="center"/>
          </w:tcPr>
          <w:p>
            <w:pPr>
              <w:rPr>
                <w:rFonts w:asciiTheme="minorEastAsia" w:hAnsiTheme="minorEastAsia"/>
                <w:sz w:val="18"/>
                <w:szCs w:val="18"/>
              </w:rPr>
            </w:pPr>
            <w:r>
              <w:rPr>
                <w:rFonts w:hint="eastAsia" w:asciiTheme="minorEastAsia" w:hAnsiTheme="minorEastAsia"/>
                <w:sz w:val="18"/>
                <w:szCs w:val="18"/>
              </w:rPr>
              <w:t>机动</w:t>
            </w:r>
          </w:p>
        </w:tc>
        <w:tc>
          <w:tcPr>
            <w:tcW w:w="720"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774"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766"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685"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630"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689"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1023" w:type="dxa"/>
            <w:vAlign w:val="center"/>
          </w:tcPr>
          <w:p>
            <w:pPr>
              <w:jc w:val="center"/>
              <w:rPr>
                <w:rFonts w:asciiTheme="minorEastAsia" w:hAnsiTheme="minorEastAsia"/>
                <w:sz w:val="18"/>
                <w:szCs w:val="18"/>
              </w:rPr>
            </w:pPr>
            <w:r>
              <w:rPr>
                <w:rFonts w:hint="eastAsia" w:asciiTheme="minorEastAsia" w:hAnsi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Align w:val="center"/>
          </w:tcPr>
          <w:p>
            <w:pPr>
              <w:jc w:val="center"/>
              <w:rPr>
                <w:rFonts w:asciiTheme="minorEastAsia" w:hAnsiTheme="minorEastAsia"/>
                <w:sz w:val="18"/>
                <w:szCs w:val="18"/>
              </w:rPr>
            </w:pPr>
            <w:r>
              <w:rPr>
                <w:rFonts w:hint="eastAsia" w:asciiTheme="minorEastAsia" w:hAnsiTheme="minorEastAsia"/>
                <w:sz w:val="18"/>
                <w:szCs w:val="18"/>
              </w:rPr>
              <w:t>4</w:t>
            </w:r>
          </w:p>
        </w:tc>
        <w:tc>
          <w:tcPr>
            <w:tcW w:w="931" w:type="dxa"/>
            <w:vMerge w:val="continue"/>
            <w:vAlign w:val="center"/>
          </w:tcPr>
          <w:p>
            <w:pPr>
              <w:rPr>
                <w:rFonts w:asciiTheme="minorEastAsia" w:hAnsiTheme="minorEastAsia"/>
                <w:sz w:val="18"/>
                <w:szCs w:val="18"/>
              </w:rPr>
            </w:pPr>
          </w:p>
        </w:tc>
        <w:tc>
          <w:tcPr>
            <w:tcW w:w="2120" w:type="dxa"/>
            <w:vAlign w:val="center"/>
          </w:tcPr>
          <w:p>
            <w:pPr>
              <w:rPr>
                <w:rFonts w:asciiTheme="minorEastAsia" w:hAnsiTheme="minorEastAsia"/>
                <w:sz w:val="18"/>
                <w:szCs w:val="18"/>
              </w:rPr>
            </w:pPr>
            <w:r>
              <w:rPr>
                <w:rFonts w:hint="eastAsia" w:asciiTheme="minorEastAsia" w:hAnsiTheme="minorEastAsia"/>
                <w:sz w:val="18"/>
                <w:szCs w:val="18"/>
              </w:rPr>
              <w:t>入学教育、军事技能训练</w:t>
            </w:r>
          </w:p>
        </w:tc>
        <w:tc>
          <w:tcPr>
            <w:tcW w:w="720"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774" w:type="dxa"/>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766" w:type="dxa"/>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685" w:type="dxa"/>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630" w:type="dxa"/>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689" w:type="dxa"/>
            <w:vAlign w:val="center"/>
          </w:tcPr>
          <w:p>
            <w:pPr>
              <w:jc w:val="center"/>
              <w:rPr>
                <w:rFonts w:asciiTheme="minorEastAsia" w:hAnsiTheme="minorEastAsia"/>
                <w:sz w:val="18"/>
                <w:szCs w:val="18"/>
              </w:rPr>
            </w:pPr>
          </w:p>
        </w:tc>
        <w:tc>
          <w:tcPr>
            <w:tcW w:w="1023"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Align w:val="center"/>
          </w:tcPr>
          <w:p>
            <w:pPr>
              <w:jc w:val="center"/>
              <w:rPr>
                <w:rFonts w:asciiTheme="minorEastAsia" w:hAnsiTheme="minorEastAsia"/>
                <w:sz w:val="18"/>
                <w:szCs w:val="18"/>
              </w:rPr>
            </w:pPr>
            <w:r>
              <w:rPr>
                <w:rFonts w:hint="eastAsia" w:asciiTheme="minorEastAsia" w:hAnsiTheme="minorEastAsia"/>
                <w:sz w:val="18"/>
                <w:szCs w:val="18"/>
              </w:rPr>
              <w:t>5</w:t>
            </w:r>
          </w:p>
        </w:tc>
        <w:tc>
          <w:tcPr>
            <w:tcW w:w="931" w:type="dxa"/>
            <w:vMerge w:val="continue"/>
            <w:vAlign w:val="center"/>
          </w:tcPr>
          <w:p>
            <w:pPr>
              <w:rPr>
                <w:rFonts w:asciiTheme="minorEastAsia" w:hAnsiTheme="minorEastAsia"/>
                <w:sz w:val="18"/>
                <w:szCs w:val="18"/>
              </w:rPr>
            </w:pPr>
          </w:p>
        </w:tc>
        <w:tc>
          <w:tcPr>
            <w:tcW w:w="2120" w:type="dxa"/>
            <w:vAlign w:val="center"/>
          </w:tcPr>
          <w:p>
            <w:pPr>
              <w:rPr>
                <w:rFonts w:asciiTheme="minorEastAsia" w:hAnsiTheme="minorEastAsia"/>
                <w:sz w:val="18"/>
                <w:szCs w:val="18"/>
              </w:rPr>
            </w:pPr>
            <w:r>
              <w:rPr>
                <w:rFonts w:hint="eastAsia" w:asciiTheme="minorEastAsia" w:hAnsiTheme="minorEastAsia"/>
                <w:sz w:val="18"/>
                <w:szCs w:val="18"/>
              </w:rPr>
              <w:t>毕业教育、毕业离校</w:t>
            </w:r>
          </w:p>
        </w:tc>
        <w:tc>
          <w:tcPr>
            <w:tcW w:w="720" w:type="dxa"/>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774" w:type="dxa"/>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766" w:type="dxa"/>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685" w:type="dxa"/>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630" w:type="dxa"/>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689"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1023"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3"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合计</w:t>
            </w:r>
          </w:p>
        </w:tc>
        <w:tc>
          <w:tcPr>
            <w:tcW w:w="720" w:type="dxa"/>
            <w:vAlign w:val="center"/>
          </w:tcPr>
          <w:p>
            <w:pPr>
              <w:jc w:val="center"/>
              <w:rPr>
                <w:rFonts w:asciiTheme="minorEastAsia" w:hAnsiTheme="minorEastAsia"/>
                <w:sz w:val="18"/>
                <w:szCs w:val="18"/>
              </w:rPr>
            </w:pPr>
            <w:r>
              <w:rPr>
                <w:rFonts w:hint="eastAsia" w:asciiTheme="minorEastAsia" w:hAnsiTheme="minorEastAsia"/>
                <w:sz w:val="18"/>
                <w:szCs w:val="18"/>
              </w:rPr>
              <w:t>20</w:t>
            </w:r>
          </w:p>
        </w:tc>
        <w:tc>
          <w:tcPr>
            <w:tcW w:w="774" w:type="dxa"/>
            <w:vAlign w:val="center"/>
          </w:tcPr>
          <w:p>
            <w:pPr>
              <w:jc w:val="center"/>
              <w:rPr>
                <w:rFonts w:asciiTheme="minorEastAsia" w:hAnsiTheme="minorEastAsia"/>
                <w:sz w:val="18"/>
                <w:szCs w:val="18"/>
              </w:rPr>
            </w:pPr>
            <w:r>
              <w:rPr>
                <w:rFonts w:hint="eastAsia" w:asciiTheme="minorEastAsia" w:hAnsiTheme="minorEastAsia"/>
                <w:sz w:val="18"/>
                <w:szCs w:val="18"/>
              </w:rPr>
              <w:t>20</w:t>
            </w:r>
          </w:p>
        </w:tc>
        <w:tc>
          <w:tcPr>
            <w:tcW w:w="766" w:type="dxa"/>
            <w:vAlign w:val="center"/>
          </w:tcPr>
          <w:p>
            <w:pPr>
              <w:jc w:val="center"/>
              <w:rPr>
                <w:rFonts w:asciiTheme="minorEastAsia" w:hAnsiTheme="minorEastAsia"/>
                <w:sz w:val="18"/>
                <w:szCs w:val="18"/>
              </w:rPr>
            </w:pPr>
            <w:r>
              <w:rPr>
                <w:rFonts w:hint="eastAsia" w:asciiTheme="minorEastAsia" w:hAnsiTheme="minorEastAsia"/>
                <w:sz w:val="18"/>
                <w:szCs w:val="18"/>
              </w:rPr>
              <w:t>20</w:t>
            </w:r>
          </w:p>
        </w:tc>
        <w:tc>
          <w:tcPr>
            <w:tcW w:w="685" w:type="dxa"/>
            <w:vAlign w:val="center"/>
          </w:tcPr>
          <w:p>
            <w:pPr>
              <w:jc w:val="center"/>
              <w:rPr>
                <w:rFonts w:asciiTheme="minorEastAsia" w:hAnsiTheme="minorEastAsia"/>
                <w:sz w:val="18"/>
                <w:szCs w:val="18"/>
              </w:rPr>
            </w:pPr>
            <w:r>
              <w:rPr>
                <w:rFonts w:hint="eastAsia" w:asciiTheme="minorEastAsia" w:hAnsiTheme="minorEastAsia"/>
                <w:sz w:val="18"/>
                <w:szCs w:val="18"/>
              </w:rPr>
              <w:t>20</w:t>
            </w:r>
          </w:p>
        </w:tc>
        <w:tc>
          <w:tcPr>
            <w:tcW w:w="630" w:type="dxa"/>
            <w:vAlign w:val="center"/>
          </w:tcPr>
          <w:p>
            <w:pPr>
              <w:jc w:val="center"/>
              <w:rPr>
                <w:rFonts w:asciiTheme="minorEastAsia" w:hAnsiTheme="minorEastAsia"/>
                <w:sz w:val="18"/>
                <w:szCs w:val="18"/>
              </w:rPr>
            </w:pPr>
            <w:r>
              <w:rPr>
                <w:rFonts w:hint="eastAsia" w:asciiTheme="minorEastAsia" w:hAnsiTheme="minorEastAsia"/>
                <w:sz w:val="18"/>
                <w:szCs w:val="18"/>
              </w:rPr>
              <w:t>20</w:t>
            </w:r>
          </w:p>
        </w:tc>
        <w:tc>
          <w:tcPr>
            <w:tcW w:w="689" w:type="dxa"/>
            <w:vAlign w:val="center"/>
          </w:tcPr>
          <w:p>
            <w:pPr>
              <w:jc w:val="center"/>
              <w:rPr>
                <w:rFonts w:asciiTheme="minorEastAsia" w:hAnsiTheme="minorEastAsia"/>
                <w:sz w:val="18"/>
                <w:szCs w:val="18"/>
              </w:rPr>
            </w:pPr>
            <w:r>
              <w:rPr>
                <w:rFonts w:hint="eastAsia" w:asciiTheme="minorEastAsia" w:hAnsiTheme="minorEastAsia"/>
                <w:sz w:val="18"/>
                <w:szCs w:val="18"/>
              </w:rPr>
              <w:t>20</w:t>
            </w:r>
          </w:p>
        </w:tc>
        <w:tc>
          <w:tcPr>
            <w:tcW w:w="1023" w:type="dxa"/>
            <w:vAlign w:val="center"/>
          </w:tcPr>
          <w:p>
            <w:pPr>
              <w:jc w:val="center"/>
              <w:rPr>
                <w:rFonts w:asciiTheme="minorEastAsia" w:hAnsiTheme="minorEastAsia"/>
                <w:sz w:val="18"/>
                <w:szCs w:val="18"/>
              </w:rPr>
            </w:pPr>
            <w:r>
              <w:rPr>
                <w:rFonts w:hint="eastAsia" w:asciiTheme="minorEastAsia" w:hAnsiTheme="minorEastAsia"/>
                <w:sz w:val="18"/>
                <w:szCs w:val="18"/>
              </w:rPr>
              <w:t>120</w:t>
            </w:r>
          </w:p>
        </w:tc>
      </w:tr>
    </w:tbl>
    <w:p>
      <w:pPr>
        <w:pStyle w:val="3"/>
      </w:pPr>
      <w:bookmarkStart w:id="24" w:name="_Toc89793284"/>
      <w:r>
        <w:rPr>
          <w:rFonts w:hint="eastAsia"/>
        </w:rPr>
        <w:t>八、实施保障</w:t>
      </w:r>
      <w:bookmarkEnd w:id="24"/>
    </w:p>
    <w:p>
      <w:pPr>
        <w:pStyle w:val="4"/>
      </w:pPr>
      <w:bookmarkStart w:id="25" w:name="_Toc89793285"/>
      <w:r>
        <w:rPr>
          <w:rFonts w:hint="eastAsia"/>
        </w:rPr>
        <w:t>（一）师资队伍</w:t>
      </w:r>
      <w:bookmarkEnd w:id="25"/>
    </w:p>
    <w:p>
      <w:pPr>
        <w:ind w:firstLine="420" w:firstLineChars="200"/>
        <w:jc w:val="left"/>
        <w:rPr>
          <w:rFonts w:asciiTheme="majorEastAsia" w:hAnsiTheme="majorEastAsia" w:eastAsiaTheme="majorEastAsia"/>
        </w:rPr>
      </w:pPr>
      <w:r>
        <w:rPr>
          <w:rFonts w:hint="eastAsia" w:asciiTheme="majorEastAsia" w:hAnsiTheme="majorEastAsia" w:eastAsiaTheme="majorEastAsia"/>
        </w:rPr>
        <w:t>1</w:t>
      </w:r>
      <w:r>
        <w:rPr>
          <w:rFonts w:asciiTheme="majorEastAsia" w:hAnsiTheme="majorEastAsia" w:eastAsiaTheme="majorEastAsia"/>
        </w:rPr>
        <w:t>.</w:t>
      </w:r>
      <w:r>
        <w:rPr>
          <w:rFonts w:hint="eastAsia" w:asciiTheme="majorEastAsia" w:hAnsiTheme="majorEastAsia" w:eastAsiaTheme="majorEastAsia"/>
        </w:rPr>
        <w:t>团队的专兼职教师结构</w:t>
      </w:r>
    </w:p>
    <w:p>
      <w:pPr>
        <w:ind w:firstLine="420" w:firstLineChars="200"/>
        <w:jc w:val="left"/>
        <w:rPr>
          <w:rFonts w:asciiTheme="majorEastAsia" w:hAnsiTheme="majorEastAsia" w:eastAsiaTheme="majorEastAsia"/>
        </w:rPr>
      </w:pPr>
      <w:r>
        <w:rPr>
          <w:rFonts w:hint="eastAsia" w:asciiTheme="majorEastAsia" w:hAnsiTheme="majorEastAsia" w:eastAsiaTheme="majorEastAsia"/>
        </w:rPr>
        <w:t>校内实训基地进行的专业职业能力学习领域课程的企业兼职教师占上课教师总数的比例不低于15%，校外实训基地进行的专业职业能力学习领域课程的企业兼职教师占上课教师总数的比例不低于80%。</w:t>
      </w:r>
    </w:p>
    <w:p>
      <w:pPr>
        <w:ind w:firstLine="420" w:firstLineChars="200"/>
        <w:jc w:val="left"/>
        <w:rPr>
          <w:rFonts w:asciiTheme="majorEastAsia" w:hAnsiTheme="majorEastAsia" w:eastAsiaTheme="majorEastAsia"/>
        </w:rPr>
      </w:pPr>
      <w:r>
        <w:rPr>
          <w:rFonts w:hint="eastAsia" w:asciiTheme="majorEastAsia" w:hAnsiTheme="majorEastAsia" w:eastAsiaTheme="majorEastAsia"/>
        </w:rPr>
        <w:t>2</w:t>
      </w:r>
      <w:r>
        <w:rPr>
          <w:rFonts w:asciiTheme="majorEastAsia" w:hAnsiTheme="majorEastAsia" w:eastAsiaTheme="majorEastAsia"/>
        </w:rPr>
        <w:t>.</w:t>
      </w:r>
      <w:r>
        <w:rPr>
          <w:rFonts w:hint="eastAsia" w:asciiTheme="majorEastAsia" w:hAnsiTheme="majorEastAsia" w:eastAsiaTheme="majorEastAsia"/>
        </w:rPr>
        <w:t>团队的双师结构</w:t>
      </w:r>
    </w:p>
    <w:p>
      <w:pPr>
        <w:ind w:firstLine="420" w:firstLineChars="200"/>
        <w:jc w:val="left"/>
        <w:rPr>
          <w:rFonts w:asciiTheme="majorEastAsia" w:hAnsiTheme="majorEastAsia" w:eastAsiaTheme="majorEastAsia"/>
        </w:rPr>
      </w:pPr>
      <w:r>
        <w:rPr>
          <w:rFonts w:hint="eastAsia" w:asciiTheme="majorEastAsia" w:hAnsiTheme="majorEastAsia" w:eastAsiaTheme="majorEastAsia"/>
        </w:rPr>
        <w:t>本专业“双师型”教师高于60%， “双师素质”教师（具备相关专业职业资格证书或企业经历）的比例达到100%。</w:t>
      </w:r>
    </w:p>
    <w:p>
      <w:pPr>
        <w:ind w:firstLine="420" w:firstLineChars="200"/>
        <w:jc w:val="left"/>
        <w:rPr>
          <w:rFonts w:asciiTheme="majorEastAsia" w:hAnsiTheme="majorEastAsia" w:eastAsiaTheme="majorEastAsia"/>
        </w:rPr>
      </w:pPr>
      <w:r>
        <w:rPr>
          <w:rFonts w:asciiTheme="majorEastAsia" w:hAnsiTheme="majorEastAsia" w:eastAsiaTheme="majorEastAsia"/>
        </w:rPr>
        <w:t>3.</w:t>
      </w:r>
      <w:r>
        <w:rPr>
          <w:rFonts w:hint="eastAsia" w:asciiTheme="majorEastAsia" w:hAnsiTheme="majorEastAsia" w:eastAsiaTheme="majorEastAsia"/>
        </w:rPr>
        <w:t>师生比</w:t>
      </w:r>
    </w:p>
    <w:p>
      <w:pPr>
        <w:ind w:firstLine="420" w:firstLineChars="200"/>
        <w:jc w:val="left"/>
        <w:rPr>
          <w:rFonts w:asciiTheme="majorEastAsia" w:hAnsiTheme="majorEastAsia" w:eastAsiaTheme="majorEastAsia"/>
        </w:rPr>
      </w:pPr>
      <w:r>
        <w:rPr>
          <w:rFonts w:hint="eastAsia" w:asciiTheme="majorEastAsia" w:hAnsiTheme="majorEastAsia" w:eastAsiaTheme="majorEastAsia"/>
        </w:rPr>
        <w:t>在校生与该专业的专任教师之比低于25:1（不含公共课）。</w:t>
      </w:r>
    </w:p>
    <w:p>
      <w:pPr>
        <w:ind w:firstLine="420" w:firstLineChars="200"/>
        <w:jc w:val="left"/>
        <w:rPr>
          <w:rFonts w:asciiTheme="majorEastAsia" w:hAnsiTheme="majorEastAsia" w:eastAsiaTheme="majorEastAsia"/>
        </w:rPr>
      </w:pPr>
      <w:r>
        <w:rPr>
          <w:rFonts w:hint="eastAsia" w:asciiTheme="majorEastAsia" w:hAnsiTheme="majorEastAsia" w:eastAsiaTheme="majorEastAsia"/>
        </w:rPr>
        <w:t>4</w:t>
      </w:r>
      <w:r>
        <w:rPr>
          <w:rFonts w:asciiTheme="majorEastAsia" w:hAnsiTheme="majorEastAsia" w:eastAsiaTheme="majorEastAsia"/>
        </w:rPr>
        <w:t>.</w:t>
      </w:r>
      <w:r>
        <w:rPr>
          <w:rFonts w:hint="eastAsia" w:asciiTheme="majorEastAsia" w:hAnsiTheme="majorEastAsia" w:eastAsiaTheme="majorEastAsia"/>
        </w:rPr>
        <w:t>团队的年龄结构</w:t>
      </w:r>
    </w:p>
    <w:p>
      <w:pPr>
        <w:ind w:firstLine="420" w:firstLineChars="200"/>
        <w:jc w:val="left"/>
        <w:rPr>
          <w:rFonts w:asciiTheme="majorEastAsia" w:hAnsiTheme="majorEastAsia" w:eastAsiaTheme="majorEastAsia"/>
        </w:rPr>
      </w:pPr>
      <w:r>
        <w:rPr>
          <w:rFonts w:hint="eastAsia" w:asciiTheme="majorEastAsia" w:hAnsiTheme="majorEastAsia" w:eastAsiaTheme="majorEastAsia"/>
        </w:rPr>
        <w:t>教学团队的在年龄结构上老、中、青分布合理，形成梯队。</w:t>
      </w:r>
    </w:p>
    <w:p>
      <w:pPr>
        <w:ind w:firstLine="420" w:firstLineChars="200"/>
        <w:jc w:val="left"/>
        <w:rPr>
          <w:rFonts w:asciiTheme="majorEastAsia" w:hAnsiTheme="majorEastAsia" w:eastAsiaTheme="majorEastAsia"/>
        </w:rPr>
      </w:pPr>
      <w:r>
        <w:rPr>
          <w:rFonts w:hint="eastAsia" w:asciiTheme="majorEastAsia" w:hAnsiTheme="majorEastAsia" w:eastAsiaTheme="majorEastAsia"/>
        </w:rPr>
        <w:t>5</w:t>
      </w:r>
      <w:r>
        <w:rPr>
          <w:rFonts w:asciiTheme="majorEastAsia" w:hAnsiTheme="majorEastAsia" w:eastAsiaTheme="majorEastAsia"/>
        </w:rPr>
        <w:t>.</w:t>
      </w:r>
      <w:r>
        <w:rPr>
          <w:rFonts w:hint="eastAsia" w:asciiTheme="majorEastAsia" w:hAnsiTheme="majorEastAsia" w:eastAsiaTheme="majorEastAsia"/>
        </w:rPr>
        <w:t>任课教师的要求</w:t>
      </w:r>
    </w:p>
    <w:p>
      <w:pPr>
        <w:ind w:firstLine="630" w:firstLineChars="300"/>
        <w:jc w:val="left"/>
        <w:rPr>
          <w:rFonts w:asciiTheme="majorEastAsia" w:hAnsiTheme="majorEastAsia" w:eastAsiaTheme="majorEastAsia"/>
        </w:rPr>
      </w:pPr>
      <w:r>
        <w:rPr>
          <w:rFonts w:hint="eastAsia" w:asciiTheme="majorEastAsia" w:hAnsiTheme="majorEastAsia" w:eastAsiaTheme="majorEastAsia"/>
        </w:rPr>
        <w:t>5</w:t>
      </w:r>
      <w:r>
        <w:rPr>
          <w:rFonts w:asciiTheme="majorEastAsia" w:hAnsiTheme="majorEastAsia" w:eastAsiaTheme="majorEastAsia"/>
        </w:rPr>
        <w:t>.1</w:t>
      </w:r>
      <w:r>
        <w:rPr>
          <w:rFonts w:hint="eastAsia" w:asciiTheme="majorEastAsia" w:hAnsiTheme="majorEastAsia" w:eastAsiaTheme="majorEastAsia"/>
        </w:rPr>
        <w:t>任课教师的学历、职称要求</w:t>
      </w:r>
    </w:p>
    <w:p>
      <w:pPr>
        <w:ind w:firstLine="630" w:firstLineChars="300"/>
        <w:rPr>
          <w:rFonts w:asciiTheme="majorEastAsia" w:hAnsiTheme="majorEastAsia" w:eastAsiaTheme="majorEastAsia"/>
        </w:rPr>
      </w:pPr>
      <w:r>
        <w:rPr>
          <w:rFonts w:hint="eastAsia" w:asciiTheme="majorEastAsia" w:hAnsiTheme="majorEastAsia" w:eastAsiaTheme="majorEastAsia"/>
        </w:rPr>
        <w:t>具备本专业大学本科以上学历（含本科）或具有本专业技师以上资格证书，并接受过职业教育教学方法论的培训。</w:t>
      </w:r>
    </w:p>
    <w:p>
      <w:pPr>
        <w:ind w:firstLine="630" w:firstLineChars="300"/>
        <w:jc w:val="left"/>
        <w:rPr>
          <w:rFonts w:asciiTheme="majorEastAsia" w:hAnsiTheme="majorEastAsia" w:eastAsiaTheme="majorEastAsia"/>
        </w:rPr>
      </w:pPr>
      <w:r>
        <w:rPr>
          <w:rFonts w:hint="eastAsia" w:asciiTheme="majorEastAsia" w:hAnsiTheme="majorEastAsia" w:eastAsiaTheme="majorEastAsia"/>
        </w:rPr>
        <w:t>5</w:t>
      </w:r>
      <w:r>
        <w:rPr>
          <w:rFonts w:asciiTheme="majorEastAsia" w:hAnsiTheme="majorEastAsia" w:eastAsiaTheme="majorEastAsia"/>
        </w:rPr>
        <w:t>.2</w:t>
      </w:r>
      <w:r>
        <w:rPr>
          <w:rFonts w:hint="eastAsia" w:asciiTheme="majorEastAsia" w:hAnsiTheme="majorEastAsia" w:eastAsiaTheme="majorEastAsia"/>
        </w:rPr>
        <w:t>任课教师的专业职业资格证书要求</w:t>
      </w:r>
    </w:p>
    <w:p>
      <w:pPr>
        <w:ind w:firstLine="630" w:firstLineChars="300"/>
        <w:rPr>
          <w:rFonts w:asciiTheme="majorEastAsia" w:hAnsiTheme="majorEastAsia" w:eastAsiaTheme="majorEastAsia"/>
        </w:rPr>
      </w:pPr>
      <w:r>
        <w:rPr>
          <w:rFonts w:hint="eastAsia" w:asciiTheme="majorEastAsia" w:hAnsiTheme="majorEastAsia" w:eastAsiaTheme="majorEastAsia"/>
        </w:rPr>
        <w:t>专任专业实训教师要具备相关工种高级工以上的资格证书（含高级工）或本专业工程师资格，但必须来自企业生产一线，工作3年以上（含3年）。</w:t>
      </w:r>
    </w:p>
    <w:p>
      <w:pPr>
        <w:ind w:firstLine="630" w:firstLineChars="300"/>
        <w:jc w:val="left"/>
        <w:rPr>
          <w:rFonts w:asciiTheme="majorEastAsia" w:hAnsiTheme="majorEastAsia" w:eastAsiaTheme="majorEastAsia"/>
        </w:rPr>
      </w:pPr>
      <w:r>
        <w:rPr>
          <w:rFonts w:hint="eastAsia" w:asciiTheme="majorEastAsia" w:hAnsiTheme="majorEastAsia" w:eastAsiaTheme="majorEastAsia"/>
        </w:rPr>
        <w:t>5</w:t>
      </w:r>
      <w:r>
        <w:rPr>
          <w:rFonts w:asciiTheme="majorEastAsia" w:hAnsiTheme="majorEastAsia" w:eastAsiaTheme="majorEastAsia"/>
        </w:rPr>
        <w:t>.3</w:t>
      </w:r>
      <w:r>
        <w:rPr>
          <w:rFonts w:hint="eastAsia" w:asciiTheme="majorEastAsia" w:hAnsiTheme="majorEastAsia" w:eastAsiaTheme="majorEastAsia"/>
        </w:rPr>
        <w:t>任课教师的其它能力要求（如指导实训能力）</w:t>
      </w:r>
    </w:p>
    <w:p>
      <w:pPr>
        <w:ind w:firstLine="630" w:firstLineChars="300"/>
        <w:jc w:val="left"/>
        <w:rPr>
          <w:rFonts w:asciiTheme="majorEastAsia" w:hAnsiTheme="majorEastAsia" w:eastAsiaTheme="majorEastAsia"/>
        </w:rPr>
      </w:pPr>
      <w:r>
        <w:rPr>
          <w:rFonts w:hint="eastAsia" w:asciiTheme="majorEastAsia" w:hAnsiTheme="majorEastAsia" w:eastAsiaTheme="majorEastAsia"/>
        </w:rPr>
        <w:t>专任专业教师应接受过职业教育教学方法论的培训，具有课程开发的能力，可以实施“教学做”一体化教学。</w:t>
      </w:r>
    </w:p>
    <w:p>
      <w:pPr>
        <w:ind w:firstLine="420" w:firstLineChars="200"/>
        <w:rPr>
          <w:rFonts w:asciiTheme="majorEastAsia" w:hAnsiTheme="majorEastAsia" w:eastAsiaTheme="majorEastAsia"/>
        </w:rPr>
      </w:pPr>
    </w:p>
    <w:p>
      <w:pPr>
        <w:pStyle w:val="4"/>
      </w:pPr>
      <w:bookmarkStart w:id="26" w:name="_Toc89793286"/>
      <w:r>
        <w:rPr>
          <w:rFonts w:hint="eastAsia"/>
        </w:rPr>
        <w:t>（二）教学设施</w:t>
      </w:r>
      <w:bookmarkEnd w:id="26"/>
    </w:p>
    <w:p>
      <w:pPr>
        <w:ind w:firstLine="420" w:firstLineChars="200"/>
        <w:rPr>
          <w:rFonts w:asciiTheme="majorEastAsia" w:hAnsiTheme="majorEastAsia" w:eastAsiaTheme="majorEastAsia"/>
        </w:rPr>
      </w:pPr>
      <w:r>
        <w:rPr>
          <w:rFonts w:asciiTheme="majorEastAsia" w:hAnsiTheme="majorEastAsia" w:eastAsiaTheme="majorEastAsia"/>
        </w:rPr>
        <w:t>1.</w:t>
      </w:r>
      <w:r>
        <w:rPr>
          <w:rFonts w:hint="eastAsia" w:asciiTheme="majorEastAsia" w:hAnsiTheme="majorEastAsia" w:eastAsiaTheme="majorEastAsia"/>
        </w:rPr>
        <w:t>校内实训基地</w:t>
      </w:r>
    </w:p>
    <w:p>
      <w:pPr>
        <w:ind w:firstLine="420" w:firstLineChars="200"/>
      </w:pPr>
      <w:r>
        <w:rPr>
          <w:rFonts w:hint="eastAsia" w:ascii="宋体" w:hAnsi="宋体"/>
        </w:rPr>
        <w:t xml:space="preserve">                         </w:t>
      </w:r>
      <w:r>
        <w:rPr>
          <w:rFonts w:hint="eastAsia"/>
        </w:rPr>
        <w:t xml:space="preserve"> 表1</w:t>
      </w:r>
      <w:r>
        <w:t>1</w:t>
      </w:r>
      <w:r>
        <w:rPr>
          <w:rFonts w:hint="eastAsia"/>
        </w:rPr>
        <w:t xml:space="preserve">  校内实训基地</w:t>
      </w:r>
    </w:p>
    <w:tbl>
      <w:tblPr>
        <w:tblStyle w:val="15"/>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7"/>
        <w:gridCol w:w="1646"/>
        <w:gridCol w:w="2098"/>
        <w:gridCol w:w="1730"/>
        <w:gridCol w:w="1327"/>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序号</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学习领域课程</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教学场地</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主要设备</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设备数量</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场地要求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机械图纸绘制</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机械工程基础实训室</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多媒体教学设备</w:t>
            </w:r>
          </w:p>
          <w:p>
            <w:pPr>
              <w:jc w:val="center"/>
              <w:rPr>
                <w:rFonts w:asciiTheme="minorEastAsia" w:hAnsiTheme="minorEastAsia"/>
                <w:sz w:val="18"/>
                <w:szCs w:val="18"/>
              </w:rPr>
            </w:pPr>
            <w:r>
              <w:rPr>
                <w:rFonts w:hint="eastAsia" w:asciiTheme="minorEastAsia" w:hAnsiTheme="minorEastAsia"/>
                <w:sz w:val="18"/>
                <w:szCs w:val="18"/>
              </w:rPr>
              <w:t>常用量具</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1套/课程</w:t>
            </w:r>
          </w:p>
          <w:p>
            <w:pPr>
              <w:jc w:val="center"/>
              <w:rPr>
                <w:rFonts w:asciiTheme="minorEastAsia" w:hAnsiTheme="minorEastAsia"/>
                <w:sz w:val="18"/>
                <w:szCs w:val="18"/>
              </w:rPr>
            </w:pPr>
            <w:r>
              <w:rPr>
                <w:rFonts w:hint="eastAsia" w:asciiTheme="minorEastAsia" w:hAnsiTheme="minorEastAsia"/>
                <w:sz w:val="18"/>
                <w:szCs w:val="18"/>
              </w:rPr>
              <w:t>60套/课程</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电工基础技能</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电工电子基础实训室</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多媒体教学设备</w:t>
            </w:r>
          </w:p>
          <w:p>
            <w:pPr>
              <w:jc w:val="center"/>
              <w:rPr>
                <w:rFonts w:asciiTheme="minorEastAsia" w:hAnsiTheme="minorEastAsia"/>
                <w:sz w:val="18"/>
                <w:szCs w:val="18"/>
              </w:rPr>
            </w:pPr>
            <w:r>
              <w:rPr>
                <w:rFonts w:hint="eastAsia" w:asciiTheme="minorEastAsia" w:hAnsiTheme="minorEastAsia"/>
                <w:sz w:val="18"/>
                <w:szCs w:val="18"/>
              </w:rPr>
              <w:t>电工实训设备</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1套/课程</w:t>
            </w:r>
          </w:p>
          <w:p>
            <w:pPr>
              <w:jc w:val="center"/>
              <w:rPr>
                <w:rFonts w:asciiTheme="minorEastAsia" w:hAnsiTheme="minorEastAsia"/>
                <w:sz w:val="18"/>
                <w:szCs w:val="18"/>
              </w:rPr>
            </w:pPr>
            <w:r>
              <w:rPr>
                <w:rFonts w:hint="eastAsia" w:asciiTheme="minorEastAsia" w:hAnsiTheme="minorEastAsia"/>
                <w:sz w:val="18"/>
                <w:szCs w:val="18"/>
              </w:rPr>
              <w:t>30套/课程</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60个工作台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计算机辅助绘图</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机械模型CAI室</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电脑、CAD软件</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60台/课程</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4</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电子技术</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电工电子基础实训室</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多媒体教学设备</w:t>
            </w:r>
          </w:p>
          <w:p>
            <w:pPr>
              <w:jc w:val="center"/>
              <w:rPr>
                <w:rFonts w:asciiTheme="minorEastAsia" w:hAnsiTheme="minorEastAsia"/>
                <w:sz w:val="18"/>
                <w:szCs w:val="18"/>
              </w:rPr>
            </w:pPr>
            <w:r>
              <w:rPr>
                <w:rFonts w:hint="eastAsia" w:asciiTheme="minorEastAsia" w:hAnsiTheme="minorEastAsia"/>
                <w:sz w:val="18"/>
                <w:szCs w:val="18"/>
              </w:rPr>
              <w:t>电子实训设备</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1套/课程</w:t>
            </w:r>
          </w:p>
          <w:p>
            <w:pPr>
              <w:jc w:val="center"/>
              <w:rPr>
                <w:rFonts w:asciiTheme="minorEastAsia" w:hAnsiTheme="minorEastAsia"/>
                <w:sz w:val="18"/>
                <w:szCs w:val="18"/>
              </w:rPr>
            </w:pPr>
            <w:r>
              <w:rPr>
                <w:rFonts w:hint="eastAsia" w:asciiTheme="minorEastAsia" w:hAnsiTheme="minorEastAsia"/>
                <w:sz w:val="18"/>
                <w:szCs w:val="18"/>
              </w:rPr>
              <w:t>30套/课程</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60个工作台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5</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机械设备与机构的认识</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机械模型室及机械工程基础实训室</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多媒体教学设备</w:t>
            </w:r>
          </w:p>
          <w:p>
            <w:pPr>
              <w:jc w:val="center"/>
              <w:rPr>
                <w:rFonts w:asciiTheme="minorEastAsia" w:hAnsiTheme="minorEastAsia"/>
                <w:sz w:val="18"/>
                <w:szCs w:val="18"/>
              </w:rPr>
            </w:pPr>
            <w:r>
              <w:rPr>
                <w:rFonts w:hint="eastAsia" w:asciiTheme="minorEastAsia" w:hAnsiTheme="minorEastAsia"/>
                <w:sz w:val="18"/>
                <w:szCs w:val="18"/>
              </w:rPr>
              <w:t>机械传动模型</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1套/课程</w:t>
            </w:r>
          </w:p>
          <w:p>
            <w:pPr>
              <w:jc w:val="center"/>
              <w:rPr>
                <w:rFonts w:asciiTheme="minorEastAsia" w:hAnsiTheme="minorEastAsia"/>
                <w:sz w:val="18"/>
                <w:szCs w:val="18"/>
              </w:rPr>
            </w:pPr>
            <w:r>
              <w:rPr>
                <w:rFonts w:hint="eastAsia" w:asciiTheme="minorEastAsia" w:hAnsiTheme="minorEastAsia"/>
                <w:sz w:val="18"/>
                <w:szCs w:val="18"/>
              </w:rPr>
              <w:t>10套/课程</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5个标准工作台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电子CAD（Prote1 DXP 2004）</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机房</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电脑、CAD软件</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60套/课程</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7</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简单机械零件设备制造</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机械模型室及机械工程基础实训室</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多媒体教学设备</w:t>
            </w:r>
          </w:p>
          <w:p>
            <w:pPr>
              <w:jc w:val="center"/>
              <w:rPr>
                <w:rFonts w:asciiTheme="minorEastAsia" w:hAnsiTheme="minorEastAsia"/>
                <w:sz w:val="18"/>
                <w:szCs w:val="18"/>
              </w:rPr>
            </w:pPr>
            <w:r>
              <w:rPr>
                <w:rFonts w:hint="eastAsia" w:asciiTheme="minorEastAsia" w:hAnsiTheme="minorEastAsia"/>
                <w:sz w:val="18"/>
                <w:szCs w:val="18"/>
              </w:rPr>
              <w:t>机械传动模型</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1套/课程</w:t>
            </w:r>
          </w:p>
          <w:p>
            <w:pPr>
              <w:jc w:val="center"/>
              <w:rPr>
                <w:rFonts w:asciiTheme="minorEastAsia" w:hAnsiTheme="minorEastAsia"/>
                <w:sz w:val="18"/>
                <w:szCs w:val="18"/>
              </w:rPr>
            </w:pPr>
            <w:r>
              <w:rPr>
                <w:rFonts w:hint="eastAsia" w:asciiTheme="minorEastAsia" w:hAnsiTheme="minorEastAsia"/>
                <w:sz w:val="18"/>
                <w:szCs w:val="18"/>
              </w:rPr>
              <w:t>10套/课程</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8</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电机的认识与使用</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机床控制实训室</w:t>
            </w:r>
          </w:p>
          <w:p>
            <w:pPr>
              <w:jc w:val="center"/>
              <w:rPr>
                <w:rFonts w:asciiTheme="minorEastAsia" w:hAnsiTheme="minorEastAsia"/>
                <w:sz w:val="18"/>
                <w:szCs w:val="18"/>
              </w:rPr>
            </w:pPr>
            <w:r>
              <w:rPr>
                <w:rFonts w:hint="eastAsia" w:asciiTheme="minorEastAsia" w:hAnsiTheme="minorEastAsia"/>
                <w:sz w:val="18"/>
                <w:szCs w:val="18"/>
              </w:rPr>
              <w:t>数控系统综合实训室</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多媒体教学设备</w:t>
            </w:r>
          </w:p>
          <w:p>
            <w:pPr>
              <w:jc w:val="center"/>
              <w:rPr>
                <w:rFonts w:asciiTheme="minorEastAsia" w:hAnsiTheme="minorEastAsia"/>
                <w:sz w:val="18"/>
                <w:szCs w:val="18"/>
              </w:rPr>
            </w:pPr>
            <w:r>
              <w:rPr>
                <w:rFonts w:hint="eastAsia" w:asciiTheme="minorEastAsia" w:hAnsiTheme="minorEastAsia"/>
                <w:sz w:val="18"/>
                <w:szCs w:val="18"/>
              </w:rPr>
              <w:t>机床控制柜</w:t>
            </w:r>
          </w:p>
          <w:p>
            <w:pPr>
              <w:jc w:val="center"/>
              <w:rPr>
                <w:rFonts w:asciiTheme="minorEastAsia" w:hAnsiTheme="minorEastAsia"/>
                <w:sz w:val="18"/>
                <w:szCs w:val="18"/>
              </w:rPr>
            </w:pPr>
            <w:r>
              <w:rPr>
                <w:rFonts w:hint="eastAsia" w:asciiTheme="minorEastAsia" w:hAnsiTheme="minorEastAsia"/>
                <w:sz w:val="18"/>
                <w:szCs w:val="18"/>
              </w:rPr>
              <w:t>数控机床</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1套/课程</w:t>
            </w:r>
          </w:p>
          <w:p>
            <w:pPr>
              <w:jc w:val="center"/>
              <w:rPr>
                <w:rFonts w:asciiTheme="minorEastAsia" w:hAnsiTheme="minorEastAsia"/>
                <w:sz w:val="18"/>
                <w:szCs w:val="18"/>
              </w:rPr>
            </w:pPr>
            <w:r>
              <w:rPr>
                <w:rFonts w:hint="eastAsia" w:asciiTheme="minorEastAsia" w:hAnsiTheme="minorEastAsia"/>
                <w:sz w:val="18"/>
                <w:szCs w:val="18"/>
              </w:rPr>
              <w:t>14台/课程20套/课程</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60座位</w:t>
            </w:r>
          </w:p>
          <w:p>
            <w:pPr>
              <w:jc w:val="center"/>
              <w:rPr>
                <w:rFonts w:asciiTheme="minorEastAsia"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9</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电气控制实践技能</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多媒体课室</w:t>
            </w:r>
          </w:p>
          <w:p>
            <w:pPr>
              <w:jc w:val="center"/>
              <w:rPr>
                <w:rFonts w:asciiTheme="minorEastAsia" w:hAnsiTheme="minorEastAsia"/>
                <w:sz w:val="18"/>
                <w:szCs w:val="18"/>
              </w:rPr>
            </w:pPr>
            <w:r>
              <w:rPr>
                <w:rFonts w:hint="eastAsia" w:asciiTheme="minorEastAsia" w:hAnsiTheme="minorEastAsia"/>
                <w:sz w:val="18"/>
                <w:szCs w:val="18"/>
              </w:rPr>
              <w:t>电机拖动实训室</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多媒体教学设备</w:t>
            </w:r>
          </w:p>
          <w:p>
            <w:pPr>
              <w:jc w:val="center"/>
              <w:rPr>
                <w:rFonts w:asciiTheme="minorEastAsia" w:hAnsiTheme="minorEastAsia"/>
                <w:sz w:val="18"/>
                <w:szCs w:val="18"/>
              </w:rPr>
            </w:pPr>
            <w:r>
              <w:rPr>
                <w:rFonts w:hint="eastAsia" w:asciiTheme="minorEastAsia" w:hAnsiTheme="minorEastAsia"/>
                <w:sz w:val="18"/>
                <w:szCs w:val="18"/>
              </w:rPr>
              <w:t>电气控制柜</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1套/课程</w:t>
            </w:r>
          </w:p>
          <w:p>
            <w:pPr>
              <w:jc w:val="center"/>
              <w:rPr>
                <w:rFonts w:asciiTheme="minorEastAsia" w:hAnsiTheme="minorEastAsia"/>
                <w:sz w:val="18"/>
                <w:szCs w:val="18"/>
              </w:rPr>
            </w:pPr>
            <w:r>
              <w:rPr>
                <w:rFonts w:hint="eastAsia" w:asciiTheme="minorEastAsia" w:hAnsiTheme="minorEastAsia"/>
                <w:sz w:val="18"/>
                <w:szCs w:val="18"/>
              </w:rPr>
              <w:t>15套/课程</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10</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液压与气动</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多媒体课室液压实验室</w:t>
            </w:r>
          </w:p>
          <w:p>
            <w:pPr>
              <w:jc w:val="center"/>
              <w:rPr>
                <w:rFonts w:asciiTheme="minorEastAsia" w:hAnsiTheme="minorEastAsia"/>
                <w:sz w:val="18"/>
                <w:szCs w:val="18"/>
              </w:rPr>
            </w:pPr>
            <w:r>
              <w:rPr>
                <w:rFonts w:hint="eastAsia" w:asciiTheme="minorEastAsia" w:hAnsiTheme="minorEastAsia"/>
                <w:sz w:val="18"/>
                <w:szCs w:val="18"/>
              </w:rPr>
              <w:t>冲塑成型实训室</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多媒体教学设备</w:t>
            </w:r>
          </w:p>
          <w:p>
            <w:pPr>
              <w:jc w:val="center"/>
              <w:rPr>
                <w:rFonts w:asciiTheme="minorEastAsia" w:hAnsiTheme="minorEastAsia"/>
                <w:sz w:val="18"/>
                <w:szCs w:val="18"/>
              </w:rPr>
            </w:pPr>
            <w:r>
              <w:rPr>
                <w:rFonts w:hint="eastAsia" w:asciiTheme="minorEastAsia" w:hAnsiTheme="minorEastAsia"/>
                <w:sz w:val="18"/>
                <w:szCs w:val="18"/>
              </w:rPr>
              <w:t>液压教学平台</w:t>
            </w:r>
          </w:p>
          <w:p>
            <w:pPr>
              <w:jc w:val="center"/>
              <w:rPr>
                <w:rFonts w:asciiTheme="minorEastAsia" w:hAnsiTheme="minorEastAsia"/>
                <w:sz w:val="18"/>
                <w:szCs w:val="18"/>
              </w:rPr>
            </w:pPr>
            <w:r>
              <w:rPr>
                <w:rFonts w:hint="eastAsia" w:asciiTheme="minorEastAsia" w:hAnsiTheme="minorEastAsia"/>
                <w:sz w:val="18"/>
                <w:szCs w:val="18"/>
              </w:rPr>
              <w:t>机械压力机</w:t>
            </w:r>
          </w:p>
          <w:p>
            <w:pPr>
              <w:jc w:val="center"/>
              <w:rPr>
                <w:rFonts w:asciiTheme="minorEastAsia" w:hAnsiTheme="minorEastAsia"/>
                <w:sz w:val="18"/>
                <w:szCs w:val="18"/>
              </w:rPr>
            </w:pPr>
            <w:r>
              <w:rPr>
                <w:rFonts w:hint="eastAsia" w:asciiTheme="minorEastAsia" w:hAnsiTheme="minorEastAsia"/>
                <w:sz w:val="18"/>
                <w:szCs w:val="18"/>
              </w:rPr>
              <w:t>注塑机</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1套/课程</w:t>
            </w:r>
          </w:p>
          <w:p>
            <w:pPr>
              <w:jc w:val="center"/>
              <w:rPr>
                <w:rFonts w:asciiTheme="minorEastAsia" w:hAnsiTheme="minorEastAsia"/>
                <w:sz w:val="18"/>
                <w:szCs w:val="18"/>
              </w:rPr>
            </w:pPr>
            <w:r>
              <w:rPr>
                <w:rFonts w:hint="eastAsia" w:asciiTheme="minorEastAsia" w:hAnsiTheme="minorEastAsia"/>
                <w:sz w:val="18"/>
                <w:szCs w:val="18"/>
              </w:rPr>
              <w:t>2套/课程</w:t>
            </w:r>
          </w:p>
          <w:p>
            <w:pPr>
              <w:jc w:val="center"/>
              <w:rPr>
                <w:rFonts w:asciiTheme="minorEastAsia" w:hAnsiTheme="minorEastAsia"/>
                <w:sz w:val="18"/>
                <w:szCs w:val="18"/>
              </w:rPr>
            </w:pPr>
            <w:r>
              <w:rPr>
                <w:rFonts w:hint="eastAsia" w:asciiTheme="minorEastAsia" w:hAnsiTheme="minorEastAsia"/>
                <w:sz w:val="18"/>
                <w:szCs w:val="18"/>
              </w:rPr>
              <w:t>4台/课程</w:t>
            </w:r>
          </w:p>
          <w:p>
            <w:pPr>
              <w:jc w:val="center"/>
              <w:rPr>
                <w:rFonts w:asciiTheme="minorEastAsia" w:hAnsiTheme="minorEastAsia"/>
                <w:sz w:val="18"/>
                <w:szCs w:val="18"/>
              </w:rPr>
            </w:pPr>
            <w:r>
              <w:rPr>
                <w:rFonts w:hint="eastAsia" w:asciiTheme="minorEastAsia" w:hAnsiTheme="minorEastAsia"/>
                <w:sz w:val="18"/>
                <w:szCs w:val="18"/>
              </w:rPr>
              <w:t>3台/课程</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11</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可编程控制及组态监控</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智能室</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多媒体教学设备</w:t>
            </w:r>
          </w:p>
          <w:p>
            <w:pPr>
              <w:jc w:val="center"/>
              <w:rPr>
                <w:rFonts w:asciiTheme="minorEastAsia" w:hAnsiTheme="minorEastAsia"/>
                <w:sz w:val="18"/>
                <w:szCs w:val="18"/>
              </w:rPr>
            </w:pPr>
            <w:r>
              <w:rPr>
                <w:rFonts w:hint="eastAsia" w:asciiTheme="minorEastAsia" w:hAnsiTheme="minorEastAsia"/>
                <w:sz w:val="18"/>
                <w:szCs w:val="18"/>
              </w:rPr>
              <w:t>PLC实训台</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1台/课程</w:t>
            </w:r>
          </w:p>
          <w:p>
            <w:pPr>
              <w:jc w:val="center"/>
              <w:rPr>
                <w:rFonts w:asciiTheme="minorEastAsia" w:hAnsiTheme="minorEastAsia"/>
                <w:sz w:val="18"/>
                <w:szCs w:val="18"/>
              </w:rPr>
            </w:pPr>
            <w:r>
              <w:rPr>
                <w:rFonts w:hint="eastAsia" w:asciiTheme="minorEastAsia" w:hAnsiTheme="minorEastAsia"/>
                <w:sz w:val="18"/>
                <w:szCs w:val="18"/>
              </w:rPr>
              <w:t>30套/课程</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12</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单片机及C程序设计</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智能室</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多媒体教学设备</w:t>
            </w:r>
          </w:p>
          <w:p>
            <w:pPr>
              <w:jc w:val="center"/>
              <w:rPr>
                <w:rFonts w:asciiTheme="minorEastAsia" w:hAnsiTheme="minorEastAsia"/>
                <w:sz w:val="18"/>
                <w:szCs w:val="18"/>
              </w:rPr>
            </w:pPr>
            <w:r>
              <w:rPr>
                <w:rFonts w:hint="eastAsia" w:asciiTheme="minorEastAsia" w:hAnsiTheme="minorEastAsia"/>
                <w:sz w:val="18"/>
                <w:szCs w:val="18"/>
              </w:rPr>
              <w:t>单片机开发板</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1套/课程</w:t>
            </w:r>
          </w:p>
          <w:p>
            <w:pPr>
              <w:jc w:val="center"/>
              <w:rPr>
                <w:rFonts w:asciiTheme="minorEastAsia" w:hAnsiTheme="minorEastAsia"/>
                <w:sz w:val="18"/>
                <w:szCs w:val="18"/>
              </w:rPr>
            </w:pPr>
            <w:r>
              <w:rPr>
                <w:rFonts w:hint="eastAsia" w:asciiTheme="minorEastAsia" w:hAnsiTheme="minorEastAsia"/>
                <w:sz w:val="18"/>
                <w:szCs w:val="18"/>
              </w:rPr>
              <w:t>60套/课程</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13</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变频调速技术</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多媒体课室</w:t>
            </w:r>
          </w:p>
          <w:p>
            <w:pPr>
              <w:jc w:val="center"/>
              <w:rPr>
                <w:rFonts w:asciiTheme="minorEastAsia" w:hAnsiTheme="minorEastAsia"/>
                <w:sz w:val="18"/>
                <w:szCs w:val="18"/>
              </w:rPr>
            </w:pPr>
            <w:r>
              <w:rPr>
                <w:rFonts w:hint="eastAsia" w:asciiTheme="minorEastAsia" w:hAnsiTheme="minorEastAsia"/>
                <w:sz w:val="18"/>
                <w:szCs w:val="18"/>
              </w:rPr>
              <w:t>变频实训室</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多媒体教学设备</w:t>
            </w:r>
          </w:p>
          <w:p>
            <w:pPr>
              <w:jc w:val="center"/>
              <w:rPr>
                <w:rFonts w:asciiTheme="minorEastAsia" w:hAnsiTheme="minorEastAsia"/>
                <w:sz w:val="18"/>
                <w:szCs w:val="18"/>
              </w:rPr>
            </w:pPr>
            <w:r>
              <w:rPr>
                <w:rFonts w:hint="eastAsia" w:asciiTheme="minorEastAsia" w:hAnsiTheme="minorEastAsia"/>
                <w:sz w:val="18"/>
                <w:szCs w:val="18"/>
              </w:rPr>
              <w:t>变频实训台</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1套/课程</w:t>
            </w:r>
          </w:p>
          <w:p>
            <w:pPr>
              <w:jc w:val="center"/>
              <w:rPr>
                <w:rFonts w:asciiTheme="minorEastAsia" w:hAnsiTheme="minorEastAsia"/>
                <w:sz w:val="18"/>
                <w:szCs w:val="18"/>
              </w:rPr>
            </w:pPr>
            <w:r>
              <w:rPr>
                <w:rFonts w:hint="eastAsia" w:asciiTheme="minorEastAsia" w:hAnsiTheme="minorEastAsia"/>
                <w:sz w:val="18"/>
                <w:szCs w:val="18"/>
              </w:rPr>
              <w:t>25套/课程</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14</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传感与检测</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多媒体课室</w:t>
            </w:r>
          </w:p>
          <w:p>
            <w:pPr>
              <w:jc w:val="center"/>
              <w:rPr>
                <w:rFonts w:asciiTheme="minorEastAsia" w:hAnsiTheme="minorEastAsia"/>
                <w:sz w:val="18"/>
                <w:szCs w:val="18"/>
              </w:rPr>
            </w:pPr>
            <w:r>
              <w:rPr>
                <w:rFonts w:hint="eastAsia" w:asciiTheme="minorEastAsia" w:hAnsiTheme="minorEastAsia"/>
                <w:sz w:val="18"/>
                <w:szCs w:val="18"/>
              </w:rPr>
              <w:t>传感实训室</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多媒体教学设备</w:t>
            </w:r>
          </w:p>
          <w:p>
            <w:pPr>
              <w:jc w:val="center"/>
              <w:rPr>
                <w:rFonts w:asciiTheme="minorEastAsia" w:hAnsiTheme="minorEastAsia"/>
                <w:sz w:val="18"/>
                <w:szCs w:val="18"/>
              </w:rPr>
            </w:pPr>
            <w:r>
              <w:rPr>
                <w:rFonts w:hint="eastAsia" w:asciiTheme="minorEastAsia" w:hAnsiTheme="minorEastAsia"/>
                <w:sz w:val="18"/>
                <w:szCs w:val="18"/>
              </w:rPr>
              <w:t>传感器实训台</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1套/课程</w:t>
            </w:r>
          </w:p>
          <w:p>
            <w:pPr>
              <w:jc w:val="center"/>
              <w:rPr>
                <w:rFonts w:asciiTheme="minorEastAsia" w:hAnsiTheme="minorEastAsia"/>
                <w:sz w:val="18"/>
                <w:szCs w:val="18"/>
              </w:rPr>
            </w:pPr>
            <w:r>
              <w:rPr>
                <w:rFonts w:hint="eastAsia" w:asciiTheme="minorEastAsia" w:hAnsiTheme="minorEastAsia"/>
                <w:sz w:val="18"/>
                <w:szCs w:val="18"/>
              </w:rPr>
              <w:t>20台/课程</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15</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工厂供电</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电工实训室</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电工实训台、设备</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30套/课程</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16</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自动生产线控制维护使用</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自动生产线实训室</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多媒体教学设备</w:t>
            </w:r>
          </w:p>
          <w:p>
            <w:pPr>
              <w:jc w:val="center"/>
              <w:rPr>
                <w:rFonts w:asciiTheme="minorEastAsia" w:hAnsiTheme="minorEastAsia"/>
                <w:sz w:val="18"/>
                <w:szCs w:val="18"/>
              </w:rPr>
            </w:pPr>
            <w:r>
              <w:rPr>
                <w:rFonts w:hint="eastAsia" w:asciiTheme="minorEastAsia" w:hAnsiTheme="minorEastAsia"/>
                <w:sz w:val="18"/>
                <w:szCs w:val="18"/>
              </w:rPr>
              <w:t>自动生产线实训设备</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10站/课程</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17</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电梯操作与维修</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电梯控制实训室</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多媒体教学设备</w:t>
            </w:r>
          </w:p>
          <w:p>
            <w:pPr>
              <w:jc w:val="center"/>
              <w:rPr>
                <w:rFonts w:asciiTheme="minorEastAsia" w:hAnsiTheme="minorEastAsia"/>
                <w:sz w:val="18"/>
                <w:szCs w:val="18"/>
              </w:rPr>
            </w:pPr>
            <w:r>
              <w:rPr>
                <w:rFonts w:hint="eastAsia" w:asciiTheme="minorEastAsia" w:hAnsiTheme="minorEastAsia"/>
                <w:sz w:val="18"/>
                <w:szCs w:val="18"/>
              </w:rPr>
              <w:t>电梯实训设备</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1套/课程</w:t>
            </w:r>
          </w:p>
          <w:p>
            <w:pPr>
              <w:jc w:val="center"/>
              <w:rPr>
                <w:rFonts w:asciiTheme="minorEastAsia" w:hAnsiTheme="minorEastAsia"/>
                <w:sz w:val="18"/>
                <w:szCs w:val="18"/>
              </w:rPr>
            </w:pPr>
            <w:r>
              <w:rPr>
                <w:rFonts w:hint="eastAsia" w:asciiTheme="minorEastAsia" w:hAnsiTheme="minorEastAsia"/>
                <w:sz w:val="18"/>
                <w:szCs w:val="18"/>
              </w:rPr>
              <w:t>1台/课程</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18</w:t>
            </w:r>
          </w:p>
        </w:tc>
        <w:tc>
          <w:tcPr>
            <w:tcW w:w="164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自动控制及过程控制</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多媒体课室</w:t>
            </w:r>
          </w:p>
          <w:p>
            <w:pPr>
              <w:jc w:val="center"/>
              <w:rPr>
                <w:rFonts w:asciiTheme="minorEastAsia" w:hAnsiTheme="minorEastAsia"/>
                <w:sz w:val="18"/>
                <w:szCs w:val="18"/>
              </w:rPr>
            </w:pPr>
            <w:r>
              <w:rPr>
                <w:rFonts w:hint="eastAsia" w:asciiTheme="minorEastAsia" w:hAnsiTheme="minorEastAsia"/>
                <w:sz w:val="18"/>
                <w:szCs w:val="18"/>
              </w:rPr>
              <w:t>变频实训室</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多媒体教学设备</w:t>
            </w:r>
          </w:p>
          <w:p>
            <w:pPr>
              <w:jc w:val="center"/>
              <w:rPr>
                <w:rFonts w:asciiTheme="minorEastAsia" w:hAnsiTheme="minorEastAsia"/>
                <w:sz w:val="18"/>
                <w:szCs w:val="18"/>
              </w:rPr>
            </w:pPr>
            <w:r>
              <w:rPr>
                <w:rFonts w:hint="eastAsia" w:asciiTheme="minorEastAsia" w:hAnsiTheme="minorEastAsia"/>
                <w:sz w:val="18"/>
                <w:szCs w:val="18"/>
              </w:rPr>
              <w:t>变频实训台</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1台1套/课程</w:t>
            </w:r>
          </w:p>
          <w:p>
            <w:pPr>
              <w:jc w:val="center"/>
              <w:rPr>
                <w:rFonts w:asciiTheme="minorEastAsia" w:hAnsiTheme="minorEastAsia"/>
                <w:sz w:val="18"/>
                <w:szCs w:val="18"/>
              </w:rPr>
            </w:pPr>
            <w:r>
              <w:rPr>
                <w:rFonts w:hint="eastAsia" w:asciiTheme="minorEastAsia" w:hAnsiTheme="minorEastAsia"/>
                <w:sz w:val="18"/>
                <w:szCs w:val="18"/>
              </w:rPr>
              <w:t>25套1套/课程</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19</w:t>
            </w:r>
          </w:p>
        </w:tc>
        <w:tc>
          <w:tcPr>
            <w:tcW w:w="1646" w:type="dxa"/>
            <w:tcBorders>
              <w:top w:val="single" w:color="000000" w:sz="4" w:space="0"/>
              <w:left w:val="nil"/>
              <w:bottom w:val="single" w:color="000000" w:sz="4" w:space="0"/>
              <w:right w:val="single" w:color="000000" w:sz="4" w:space="0"/>
            </w:tcBorders>
            <w:vAlign w:val="center"/>
          </w:tcPr>
          <w:p>
            <w:pPr>
              <w:rPr>
                <w:rFonts w:asciiTheme="minorEastAsia" w:hAnsiTheme="minorEastAsia"/>
                <w:sz w:val="18"/>
                <w:szCs w:val="18"/>
              </w:rPr>
            </w:pPr>
            <w:r>
              <w:rPr>
                <w:rFonts w:hint="eastAsia" w:asciiTheme="minorEastAsia" w:hAnsiTheme="minorEastAsia"/>
                <w:sz w:val="18"/>
                <w:szCs w:val="18"/>
              </w:rPr>
              <w:t>工业机器人</w:t>
            </w:r>
          </w:p>
        </w:tc>
        <w:tc>
          <w:tcPr>
            <w:tcW w:w="2098"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工业机器人实训室</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工业机器人手臂及工作站</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10站/课程</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60座位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20</w:t>
            </w:r>
          </w:p>
        </w:tc>
        <w:tc>
          <w:tcPr>
            <w:tcW w:w="1646" w:type="dxa"/>
            <w:tcBorders>
              <w:top w:val="single" w:color="000000" w:sz="4" w:space="0"/>
              <w:left w:val="nil"/>
              <w:bottom w:val="single" w:color="000000" w:sz="4" w:space="0"/>
              <w:right w:val="single" w:color="000000" w:sz="4" w:space="0"/>
            </w:tcBorders>
            <w:vAlign w:val="center"/>
          </w:tcPr>
          <w:p>
            <w:pPr>
              <w:rPr>
                <w:rFonts w:asciiTheme="minorEastAsia" w:hAnsiTheme="minorEastAsia"/>
                <w:sz w:val="18"/>
                <w:szCs w:val="18"/>
              </w:rPr>
            </w:pPr>
            <w:r>
              <w:rPr>
                <w:rFonts w:hint="eastAsia" w:asciiTheme="minorEastAsia" w:hAnsiTheme="minorEastAsia"/>
                <w:sz w:val="18"/>
                <w:szCs w:val="18"/>
              </w:rPr>
              <w:t>电工考证实训室</w:t>
            </w:r>
          </w:p>
        </w:tc>
        <w:tc>
          <w:tcPr>
            <w:tcW w:w="2098" w:type="dxa"/>
            <w:tcBorders>
              <w:top w:val="single" w:color="000000" w:sz="4" w:space="0"/>
              <w:left w:val="nil"/>
              <w:bottom w:val="single" w:color="000000" w:sz="4" w:space="0"/>
              <w:right w:val="single" w:color="000000" w:sz="4" w:space="0"/>
            </w:tcBorders>
            <w:vAlign w:val="center"/>
          </w:tcPr>
          <w:p>
            <w:pPr>
              <w:rPr>
                <w:rFonts w:asciiTheme="minorEastAsia" w:hAnsiTheme="minorEastAsia"/>
                <w:sz w:val="18"/>
                <w:szCs w:val="18"/>
              </w:rPr>
            </w:pPr>
            <w:r>
              <w:rPr>
                <w:rFonts w:hint="eastAsia" w:asciiTheme="minorEastAsia" w:hAnsiTheme="minorEastAsia"/>
                <w:sz w:val="18"/>
                <w:szCs w:val="18"/>
              </w:rPr>
              <w:t>维修电工、电工上岗证</w:t>
            </w:r>
          </w:p>
        </w:tc>
        <w:tc>
          <w:tcPr>
            <w:tcW w:w="173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考证设备</w:t>
            </w:r>
          </w:p>
        </w:tc>
        <w:tc>
          <w:tcPr>
            <w:tcW w:w="132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20台套</w:t>
            </w:r>
          </w:p>
        </w:tc>
        <w:tc>
          <w:tcPr>
            <w:tcW w:w="111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30座位</w:t>
            </w:r>
          </w:p>
        </w:tc>
      </w:tr>
    </w:tbl>
    <w:p>
      <w:pPr>
        <w:spacing w:before="312" w:beforeLines="100"/>
        <w:ind w:firstLine="420" w:firstLineChars="200"/>
        <w:jc w:val="left"/>
        <w:rPr>
          <w:rFonts w:asciiTheme="majorEastAsia" w:hAnsiTheme="majorEastAsia" w:eastAsiaTheme="majorEastAsia"/>
        </w:rPr>
      </w:pPr>
      <w:r>
        <w:rPr>
          <w:rFonts w:asciiTheme="majorEastAsia" w:hAnsiTheme="majorEastAsia" w:eastAsiaTheme="majorEastAsia"/>
        </w:rPr>
        <w:t>2.</w:t>
      </w:r>
      <w:r>
        <w:rPr>
          <w:rFonts w:hint="eastAsia" w:asciiTheme="majorEastAsia" w:hAnsiTheme="majorEastAsia" w:eastAsiaTheme="majorEastAsia"/>
        </w:rPr>
        <w:t>校外实训基地</w:t>
      </w:r>
    </w:p>
    <w:p>
      <w:pPr>
        <w:ind w:firstLine="420" w:firstLineChars="200"/>
        <w:jc w:val="left"/>
        <w:rPr>
          <w:rFonts w:asciiTheme="majorEastAsia" w:hAnsiTheme="majorEastAsia" w:eastAsiaTheme="majorEastAsia"/>
        </w:rPr>
      </w:pPr>
      <w:r>
        <w:rPr>
          <w:rFonts w:hint="eastAsia" w:asciiTheme="majorEastAsia" w:hAnsiTheme="majorEastAsia" w:eastAsiaTheme="majorEastAsia"/>
        </w:rPr>
        <w:t>具有稳定的校外实训基地。能够开展机电一体化设备的应用与维护、自动生产线安装、调试、电气控制电路接线、自动控制设备程序设计、PLC系统设计、机电一体化产品开发、设备售后技术服务等实训活动，实训设施齐备，实训岗位、实训指导教师确定，实训管理及实施规章制度齐全。</w:t>
      </w:r>
    </w:p>
    <w:p>
      <w:pPr>
        <w:ind w:firstLine="420" w:firstLineChars="200"/>
        <w:jc w:val="left"/>
        <w:rPr>
          <w:rFonts w:asciiTheme="majorEastAsia" w:hAnsiTheme="majorEastAsia" w:eastAsiaTheme="majorEastAsia"/>
          <w:color w:val="FF0000"/>
        </w:rPr>
      </w:pPr>
      <w:r>
        <w:rPr>
          <w:rFonts w:hint="eastAsia" w:asciiTheme="majorEastAsia" w:hAnsiTheme="majorEastAsia" w:eastAsiaTheme="majorEastAsia"/>
        </w:rPr>
        <w:t>在校外实训基地建设方面，本专业优选在机电设备维护维修和自动化生产线的应用方面积极和企业合作，目前已经建有广州地铁等校外实习基地三十多家。机电一体化技术专业将与实习基地的有关企业在校企合作方面进行深层次的合作。企业从人才培养方案的设置开始便参与人才培养，并贯穿课程设置、实习指导、职业培训。合作的深度也不再局限于课程设置与实训基地的提供，还开展了现代学徒制试点。</w:t>
      </w:r>
    </w:p>
    <w:p>
      <w:pPr>
        <w:pStyle w:val="4"/>
      </w:pPr>
      <w:bookmarkStart w:id="27" w:name="_Toc89793287"/>
      <w:r>
        <w:rPr>
          <w:rFonts w:hint="eastAsia"/>
        </w:rPr>
        <w:t>（三）教学资源</w:t>
      </w:r>
      <w:bookmarkEnd w:id="27"/>
    </w:p>
    <w:p>
      <w:pPr>
        <w:ind w:firstLine="420" w:firstLineChars="200"/>
        <w:rPr>
          <w:rFonts w:asciiTheme="majorEastAsia" w:hAnsiTheme="majorEastAsia" w:eastAsiaTheme="majorEastAsia"/>
        </w:rPr>
      </w:pPr>
      <w:r>
        <w:rPr>
          <w:rFonts w:hint="eastAsia" w:asciiTheme="majorEastAsia" w:hAnsiTheme="majorEastAsia" w:eastAsiaTheme="majorEastAsia"/>
        </w:rPr>
        <w:t>对教材选用、图书文献设备、数字资源等提出有关要求。</w:t>
      </w:r>
    </w:p>
    <w:p>
      <w:pPr>
        <w:ind w:firstLine="420" w:firstLineChars="200"/>
        <w:rPr>
          <w:rFonts w:asciiTheme="majorEastAsia" w:hAnsiTheme="majorEastAsia" w:eastAsiaTheme="majorEastAsia"/>
        </w:rPr>
      </w:pPr>
      <w:r>
        <w:rPr>
          <w:rFonts w:hint="eastAsia" w:asciiTheme="majorEastAsia" w:hAnsiTheme="majorEastAsia" w:eastAsiaTheme="majorEastAsia"/>
        </w:rPr>
        <w:t>教材、图书和数字资源结合实际具体提出，应能够满足学生专业学习、教师专业教学研究、教学实施和社会服务需要。严格执行国家、省和学校关于教材选用的有关要求。根据需要组织编写校本教材，开发教学资源。</w:t>
      </w:r>
    </w:p>
    <w:p>
      <w:pPr>
        <w:ind w:firstLine="420" w:firstLineChars="200"/>
        <w:rPr>
          <w:rFonts w:asciiTheme="majorEastAsia" w:hAnsiTheme="majorEastAsia" w:eastAsiaTheme="majorEastAsia"/>
        </w:rPr>
      </w:pPr>
      <w:r>
        <w:rPr>
          <w:rFonts w:hint="eastAsia" w:asciiTheme="majorEastAsia" w:hAnsiTheme="majorEastAsia" w:eastAsiaTheme="majorEastAsia"/>
        </w:rPr>
        <w:t>同时，注意对接“1+X”证书制度试点工作对教材的要求。</w:t>
      </w:r>
    </w:p>
    <w:p>
      <w:pPr>
        <w:ind w:firstLine="420" w:firstLineChars="200"/>
        <w:rPr>
          <w:rFonts w:asciiTheme="majorEastAsia" w:hAnsiTheme="majorEastAsia" w:eastAsiaTheme="majorEastAsia"/>
        </w:rPr>
      </w:pPr>
      <w:r>
        <w:rPr>
          <w:rFonts w:hint="eastAsia" w:asciiTheme="majorEastAsia" w:hAnsiTheme="majorEastAsia" w:eastAsiaTheme="majorEastAsia"/>
        </w:rPr>
        <w:t>（1）教材</w:t>
      </w:r>
    </w:p>
    <w:p>
      <w:pPr>
        <w:ind w:firstLine="420" w:firstLineChars="200"/>
        <w:rPr>
          <w:rFonts w:asciiTheme="majorEastAsia" w:hAnsiTheme="majorEastAsia" w:eastAsiaTheme="majorEastAsia"/>
        </w:rPr>
      </w:pPr>
      <w:r>
        <w:rPr>
          <w:rFonts w:hint="eastAsia" w:asciiTheme="majorEastAsia" w:hAnsiTheme="majorEastAsia" w:eastAsiaTheme="majorEastAsia"/>
        </w:rPr>
        <w:t>在选用教材时有如下原则：优先选用近3年出版的新教材和各级各类获奖教材，鼓励选用教育主管部门或教学指导委员会推荐教材；选用先进的、能反映机电产品应用与设计，特别在自动生产线安装与维护专业发展前沿的高质量教材；综合课程，尤其是专业核心课程，建议专业教师编写更符合教学要求、更能体现课程体系科学、更加结合专业实际的特色教材。</w:t>
      </w:r>
    </w:p>
    <w:p>
      <w:pPr>
        <w:ind w:firstLine="420" w:firstLineChars="200"/>
        <w:rPr>
          <w:rFonts w:asciiTheme="majorEastAsia" w:hAnsiTheme="majorEastAsia" w:eastAsiaTheme="majorEastAsia"/>
        </w:rPr>
      </w:pPr>
      <w:r>
        <w:rPr>
          <w:rFonts w:hint="eastAsia" w:asciiTheme="majorEastAsia" w:hAnsiTheme="majorEastAsia" w:eastAsiaTheme="majorEastAsia"/>
        </w:rPr>
        <w:t>（2）其他图书</w:t>
      </w:r>
    </w:p>
    <w:p>
      <w:pPr>
        <w:ind w:firstLine="420" w:firstLineChars="200"/>
        <w:rPr>
          <w:rFonts w:asciiTheme="majorEastAsia" w:hAnsiTheme="majorEastAsia" w:eastAsiaTheme="majorEastAsia"/>
          <w:color w:val="FF0000"/>
        </w:rPr>
      </w:pPr>
      <w:r>
        <w:rPr>
          <w:rFonts w:hint="eastAsia" w:asciiTheme="majorEastAsia" w:hAnsiTheme="majorEastAsia" w:eastAsiaTheme="majorEastAsia"/>
        </w:rPr>
        <w:t>本专业有着丰富的教学资源，学院拥有国家两个图书馆和国内领先省内一流的职业技能实训中心，馆藏纸质图书65余万册，中文纸质专业期刊700余种，可供学生进行学习。有电气和机电类（机床电气设计、可编程控制器应用，变频器原理与应用，传感器原理与应用，组态技术，机器人技术等）专业书籍6000册（含电子图书），生均10册以上；有机电和电气类（机床电气设计、可编程控制器应用，变频器原理与应用，传感器原理与应用，组态技术，机器人技术，等）专业期（报）刊10种以上；相关职业资格标准（钳工、车工、铣工、维修电工、数控车工、数控铣工、加工中心、数控机床装调维修工、PLC编程程序员，维修电工的初级、中级、高级职业标准）；技术资料（电气设计手册，机床电气设计手册，机电系统设计手册，不同系统（华中、发那科、西门子、DMG）的调试资料、现有实训设备的操作编程手册、安装调试、维修资料）；实训指导书（符合专业需求、专业建设实际的不同实训课程指导书）。</w:t>
      </w:r>
    </w:p>
    <w:p>
      <w:pPr>
        <w:pStyle w:val="4"/>
      </w:pPr>
      <w:bookmarkStart w:id="28" w:name="_Toc89793288"/>
      <w:r>
        <w:rPr>
          <w:rFonts w:hint="eastAsia"/>
        </w:rPr>
        <w:t>（四）教学方法</w:t>
      </w:r>
      <w:bookmarkEnd w:id="28"/>
    </w:p>
    <w:p>
      <w:pPr>
        <w:spacing w:line="480" w:lineRule="exact"/>
        <w:ind w:firstLine="420" w:firstLineChars="200"/>
        <w:rPr>
          <w:rFonts w:ascii="宋体" w:hAnsi="宋体"/>
          <w:color w:val="000000"/>
        </w:rPr>
      </w:pPr>
      <w:r>
        <w:rPr>
          <w:rFonts w:hint="eastAsia" w:ascii="宋体" w:hAnsi="宋体"/>
          <w:color w:val="000000"/>
        </w:rPr>
        <w:t>1</w:t>
      </w:r>
      <w:r>
        <w:rPr>
          <w:rFonts w:ascii="宋体" w:hAnsi="宋体"/>
          <w:color w:val="000000"/>
        </w:rPr>
        <w:t>.</w:t>
      </w:r>
      <w:r>
        <w:rPr>
          <w:rFonts w:hint="eastAsia" w:ascii="宋体" w:hAnsi="宋体"/>
          <w:color w:val="000000"/>
        </w:rPr>
        <w:t>创建</w:t>
      </w:r>
      <w:r>
        <w:rPr>
          <w:rFonts w:ascii="宋体" w:hAnsi="宋体"/>
          <w:color w:val="000000"/>
        </w:rPr>
        <w:t>”</w:t>
      </w:r>
      <w:r>
        <w:rPr>
          <w:rFonts w:hint="eastAsia" w:ascii="宋体" w:hAnsi="宋体"/>
          <w:color w:val="000000"/>
        </w:rPr>
        <w:t>广东工贸-利元亨“、“广州地铁”等企业的订单班</w:t>
      </w:r>
    </w:p>
    <w:p>
      <w:pPr>
        <w:widowControl/>
        <w:ind w:firstLine="420" w:firstLineChars="200"/>
        <w:textAlignment w:val="center"/>
        <w:rPr>
          <w:rFonts w:asciiTheme="majorEastAsia" w:hAnsiTheme="majorEastAsia" w:eastAsiaTheme="majorEastAsia"/>
        </w:rPr>
      </w:pPr>
      <w:r>
        <w:rPr>
          <w:rFonts w:hint="eastAsia" w:asciiTheme="majorEastAsia" w:hAnsiTheme="majorEastAsia" w:eastAsiaTheme="majorEastAsia"/>
        </w:rPr>
        <w:t>“订单班”的人才培养模式加强校企合作，推进订单式人才培养模式，建立以行业、企业技术人员为主的专业建设委员会，突出订单式人才培养的校企深度融合，企业可参与专业人才培养方案的制定，可向学校提出合理化的培养建议，使学校教学与企业需求紧密衔接，培养出企业需要的人才；而学生也可以分阶段去企业实习，了解熟悉企业的制度和要求，掌握所需技能，尽早接触企业管理，树立职业意识。同时引进企业文化，使它成为班级文化，在潜移默化中影响学生。班级还可以引进企业的管理模式，使企业的员工行为规范早日成为学生们的自觉行动，培养学生良好的职业道德、荣誉感和责任感。</w:t>
      </w:r>
    </w:p>
    <w:p>
      <w:pPr>
        <w:ind w:firstLine="420" w:firstLineChars="200"/>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联合申办省级现代学徒制办学模式</w:t>
      </w:r>
    </w:p>
    <w:p>
      <w:pPr>
        <w:widowControl/>
        <w:ind w:firstLine="420" w:firstLineChars="200"/>
        <w:textAlignment w:val="center"/>
        <w:rPr>
          <w:rFonts w:ascii="宋体" w:hAnsi="宋体"/>
          <w:b/>
          <w:bCs/>
          <w:color w:val="000000"/>
        </w:rPr>
      </w:pPr>
      <w:r>
        <w:rPr>
          <w:rFonts w:hint="eastAsia" w:asciiTheme="majorEastAsia" w:hAnsiTheme="majorEastAsia" w:eastAsiaTheme="majorEastAsia"/>
        </w:rPr>
        <w:t>采用双主体育人模式，以企业、学校作为双元主体，根据企业岗位需求构建人才培养目标，分别联合广东利元亨智能装备股份有限公司、东莞新能德科技有限公司申报省级现代学徒制，制定人才培养方案，创新教学模式，建立双师型队伍，优化教学资源等方式，探索现代学徒制教学机制建设、运行机制建设、培养机制建设，以期达到培养社会需要的“理论知识与实践技能兼备” 和“职业道德素养与职业创新能力兼备”的双型人才，培养“工匠精神”和精益求精的精神。</w:t>
      </w:r>
    </w:p>
    <w:p>
      <w:pPr>
        <w:ind w:firstLine="420" w:firstLineChars="200"/>
        <w:rPr>
          <w:rFonts w:asciiTheme="majorEastAsia" w:hAnsiTheme="majorEastAsia" w:eastAsiaTheme="majorEastAsia"/>
        </w:rPr>
      </w:pPr>
      <w:r>
        <w:rPr>
          <w:rFonts w:hint="eastAsia" w:asciiTheme="majorEastAsia" w:hAnsiTheme="majorEastAsia" w:eastAsiaTheme="majorEastAsia"/>
        </w:rPr>
        <w:t>3</w:t>
      </w:r>
      <w:r>
        <w:rPr>
          <w:rFonts w:asciiTheme="majorEastAsia" w:hAnsiTheme="majorEastAsia" w:eastAsiaTheme="majorEastAsia"/>
        </w:rPr>
        <w:t>.</w:t>
      </w:r>
      <w:r>
        <w:rPr>
          <w:rFonts w:hint="eastAsia" w:asciiTheme="majorEastAsia" w:hAnsiTheme="majorEastAsia" w:eastAsiaTheme="majorEastAsia"/>
        </w:rPr>
        <w:t>构建专业“五化”一体的课程体系，突出学生个性化培养</w:t>
      </w:r>
    </w:p>
    <w:p>
      <w:pPr>
        <w:ind w:firstLine="420" w:firstLineChars="200"/>
        <w:rPr>
          <w:rFonts w:asciiTheme="majorEastAsia" w:hAnsiTheme="majorEastAsia" w:eastAsiaTheme="majorEastAsia"/>
        </w:rPr>
      </w:pPr>
      <w:r>
        <w:rPr>
          <w:rFonts w:hint="eastAsia" w:asciiTheme="majorEastAsia" w:hAnsiTheme="majorEastAsia" w:eastAsiaTheme="majorEastAsia"/>
        </w:rPr>
        <w:t>一体化课程可分五化：加工过程自动化；制造资源物联化；制造系统数字化；质量控制实时化；制造环境绿色化。学生可任意选择其中的某几个相关模块进行学习，采取学分互认，在培养模式上，突出学生个性化培养，更好的培养发展型机电一体化技术人才。</w:t>
      </w:r>
    </w:p>
    <w:p>
      <w:pPr>
        <w:ind w:firstLine="420" w:firstLineChars="200"/>
        <w:rPr>
          <w:rFonts w:asciiTheme="majorEastAsia" w:hAnsiTheme="majorEastAsia" w:eastAsiaTheme="majorEastAsia"/>
        </w:rPr>
      </w:pPr>
      <w:r>
        <w:rPr>
          <w:rFonts w:hint="eastAsia" w:asciiTheme="majorEastAsia" w:hAnsiTheme="majorEastAsia" w:eastAsiaTheme="majorEastAsia"/>
        </w:rPr>
        <w:t>4</w:t>
      </w:r>
      <w:r>
        <w:rPr>
          <w:rFonts w:asciiTheme="majorEastAsia" w:hAnsiTheme="majorEastAsia" w:eastAsiaTheme="majorEastAsia"/>
        </w:rPr>
        <w:t>.</w:t>
      </w:r>
      <w:r>
        <w:rPr>
          <w:rFonts w:hint="eastAsia" w:asciiTheme="majorEastAsia" w:hAnsiTheme="majorEastAsia" w:eastAsiaTheme="majorEastAsia"/>
        </w:rPr>
        <w:t>开展“校内教师+企业教师”共建共授课程等教学改革</w:t>
      </w:r>
    </w:p>
    <w:p>
      <w:pPr>
        <w:ind w:firstLine="420" w:firstLineChars="200"/>
        <w:rPr>
          <w:rFonts w:asciiTheme="majorEastAsia" w:hAnsiTheme="majorEastAsia" w:eastAsiaTheme="majorEastAsia"/>
        </w:rPr>
      </w:pPr>
      <w:r>
        <w:rPr>
          <w:rFonts w:hint="eastAsia" w:asciiTheme="majorEastAsia" w:hAnsiTheme="majorEastAsia" w:eastAsiaTheme="majorEastAsia"/>
        </w:rPr>
        <w:t>为更好培养学生机电一体化设备的设计与制造、安装与调试能力，专业核心课程全部采用了项目教学，由“校内教师+企业教师”共同授课。企业教师主要为广东省知名机电行业企业的技术人员。建设期内，在9门专业课程实施小班教学以及校内外教师共同授课。共同指导学生实践教学及顶岗实习。</w:t>
      </w:r>
    </w:p>
    <w:p>
      <w:pPr>
        <w:ind w:firstLine="420" w:firstLineChars="200"/>
        <w:rPr>
          <w:rFonts w:asciiTheme="majorEastAsia" w:hAnsiTheme="majorEastAsia" w:eastAsiaTheme="majorEastAsia"/>
        </w:rPr>
      </w:pPr>
      <w:r>
        <w:rPr>
          <w:rFonts w:hint="eastAsia" w:asciiTheme="majorEastAsia" w:hAnsiTheme="majorEastAsia" w:eastAsiaTheme="majorEastAsia"/>
        </w:rPr>
        <w:t>5</w:t>
      </w:r>
      <w:r>
        <w:rPr>
          <w:rFonts w:asciiTheme="majorEastAsia" w:hAnsiTheme="majorEastAsia" w:eastAsiaTheme="majorEastAsia"/>
        </w:rPr>
        <w:t>.</w:t>
      </w:r>
      <w:r>
        <w:rPr>
          <w:rFonts w:hint="eastAsia" w:asciiTheme="majorEastAsia" w:hAnsiTheme="majorEastAsia" w:eastAsiaTheme="majorEastAsia"/>
        </w:rPr>
        <w:t>探索混合式学习和翻转课堂教学</w:t>
      </w:r>
    </w:p>
    <w:p>
      <w:pPr>
        <w:snapToGrid w:val="0"/>
        <w:ind w:firstLine="420" w:firstLineChars="200"/>
        <w:rPr>
          <w:rFonts w:asciiTheme="majorEastAsia" w:hAnsiTheme="majorEastAsia" w:eastAsiaTheme="majorEastAsia"/>
          <w:color w:val="FF0000"/>
        </w:rPr>
      </w:pPr>
      <w:r>
        <w:rPr>
          <w:rFonts w:hint="eastAsia" w:asciiTheme="majorEastAsia" w:hAnsiTheme="majorEastAsia" w:eastAsiaTheme="majorEastAsia"/>
        </w:rPr>
        <w:t>混合式学习和翻转课堂是在线教育的未来趋势要实现翻转课堂教学，因此，要把传统学习方式的优势和网络化学习的优势结合起来，建立混合式学习模式。另外，必须建立基于“机电设备的设计、操作、装调工作过程”的理、虚、实一体化“微课、课程资源包”。</w:t>
      </w:r>
    </w:p>
    <w:p>
      <w:pPr>
        <w:pStyle w:val="4"/>
      </w:pPr>
      <w:bookmarkStart w:id="29" w:name="_Toc89793289"/>
      <w:r>
        <w:rPr>
          <w:rFonts w:hint="eastAsia"/>
        </w:rPr>
        <w:t>（五）学习评价</w:t>
      </w:r>
      <w:bookmarkEnd w:id="29"/>
    </w:p>
    <w:p>
      <w:pPr>
        <w:ind w:firstLine="420" w:firstLineChars="200"/>
        <w:rPr>
          <w:rFonts w:asciiTheme="majorEastAsia" w:hAnsiTheme="majorEastAsia" w:eastAsiaTheme="majorEastAsia"/>
        </w:rPr>
      </w:pPr>
      <w:r>
        <w:rPr>
          <w:rFonts w:hint="eastAsia" w:asciiTheme="majorEastAsia" w:hAnsiTheme="majorEastAsia" w:eastAsiaTheme="majorEastAsia"/>
        </w:rPr>
        <w:t>1</w:t>
      </w:r>
      <w:r>
        <w:rPr>
          <w:rFonts w:asciiTheme="majorEastAsia" w:hAnsiTheme="majorEastAsia" w:eastAsiaTheme="majorEastAsia"/>
        </w:rPr>
        <w:t>.</w:t>
      </w:r>
      <w:r>
        <w:rPr>
          <w:rFonts w:hint="eastAsia" w:asciiTheme="majorEastAsia" w:hAnsiTheme="majorEastAsia" w:eastAsiaTheme="majorEastAsia"/>
        </w:rPr>
        <w:t>日常教学质量管理与检查制度</w:t>
      </w:r>
    </w:p>
    <w:p>
      <w:pPr>
        <w:ind w:firstLine="420" w:firstLineChars="200"/>
        <w:rPr>
          <w:rFonts w:asciiTheme="majorEastAsia" w:hAnsiTheme="majorEastAsia" w:eastAsiaTheme="majorEastAsia"/>
        </w:rPr>
      </w:pPr>
      <w:r>
        <w:rPr>
          <w:rFonts w:hint="eastAsia" w:asciiTheme="majorEastAsia" w:hAnsiTheme="majorEastAsia" w:eastAsiaTheme="majorEastAsia"/>
        </w:rPr>
        <w:t>建立了健全的教学常规管理制度，分别在开学初对教学准备工作、教学设备到位情况和教师备课情况进行检查；在期中对课堂教学、教学进度、教案、辅导、实训、作业等教学环节进行普查和抽查；期末对考试环节重点检查，对全体教师进行教学评价等。</w:t>
      </w:r>
    </w:p>
    <w:p>
      <w:pPr>
        <w:ind w:firstLine="420" w:firstLineChars="200"/>
        <w:rPr>
          <w:rFonts w:asciiTheme="majorEastAsia" w:hAnsiTheme="majorEastAsia" w:eastAsiaTheme="majorEastAsia"/>
        </w:rPr>
      </w:pPr>
      <w:r>
        <w:rPr>
          <w:rFonts w:hint="eastAsia" w:asciiTheme="majorEastAsia" w:hAnsiTheme="majorEastAsia" w:eastAsiaTheme="majorEastAsia"/>
        </w:rPr>
        <w:t>2</w:t>
      </w:r>
      <w:r>
        <w:rPr>
          <w:rFonts w:asciiTheme="majorEastAsia" w:hAnsiTheme="majorEastAsia" w:eastAsiaTheme="majorEastAsia"/>
        </w:rPr>
        <w:t>.</w:t>
      </w:r>
      <w:r>
        <w:rPr>
          <w:rFonts w:hint="eastAsia" w:asciiTheme="majorEastAsia" w:hAnsiTheme="majorEastAsia" w:eastAsiaTheme="majorEastAsia"/>
        </w:rPr>
        <w:t>教学督导制度</w:t>
      </w:r>
      <w:r>
        <w:rPr>
          <w:rFonts w:hint="eastAsia" w:asciiTheme="majorEastAsia" w:hAnsiTheme="majorEastAsia" w:eastAsiaTheme="majorEastAsia"/>
        </w:rPr>
        <w:tab/>
      </w:r>
    </w:p>
    <w:p>
      <w:pPr>
        <w:ind w:firstLine="420" w:firstLineChars="200"/>
        <w:rPr>
          <w:rFonts w:asciiTheme="majorEastAsia" w:hAnsiTheme="majorEastAsia" w:eastAsiaTheme="majorEastAsia"/>
        </w:rPr>
      </w:pPr>
      <w:r>
        <w:rPr>
          <w:rFonts w:hint="eastAsia" w:asciiTheme="majorEastAsia" w:hAnsiTheme="majorEastAsia" w:eastAsiaTheme="majorEastAsia"/>
        </w:rPr>
        <w:t>教学督导工作主要通过两种渠道开展：一是学院教学督导组监督指导，通过定期和不定期的听课、深入班级了解教学情况、对青年教师进行教学方法的指导、对教学管理工作提出合理化建议、对课程教学进行评价和反馈等，有效促进了教学质量的提高；二是各级领导干部听课制度，各级领导定期或随机深入班级听课、了解教学效果，监控教学质量。</w:t>
      </w:r>
    </w:p>
    <w:p>
      <w:pPr>
        <w:ind w:firstLine="420" w:firstLineChars="200"/>
        <w:rPr>
          <w:rFonts w:asciiTheme="majorEastAsia" w:hAnsiTheme="majorEastAsia" w:eastAsiaTheme="majorEastAsia"/>
        </w:rPr>
      </w:pPr>
      <w:r>
        <w:rPr>
          <w:rFonts w:hint="eastAsia" w:asciiTheme="majorEastAsia" w:hAnsiTheme="majorEastAsia" w:eastAsiaTheme="majorEastAsia"/>
        </w:rPr>
        <w:t>3</w:t>
      </w:r>
      <w:r>
        <w:rPr>
          <w:rFonts w:asciiTheme="majorEastAsia" w:hAnsiTheme="majorEastAsia" w:eastAsiaTheme="majorEastAsia"/>
        </w:rPr>
        <w:t>.</w:t>
      </w:r>
      <w:r>
        <w:rPr>
          <w:rFonts w:hint="eastAsia" w:asciiTheme="majorEastAsia" w:hAnsiTheme="majorEastAsia" w:eastAsiaTheme="majorEastAsia"/>
        </w:rPr>
        <w:t>系部教学工作例会和教学研讨制度</w:t>
      </w:r>
    </w:p>
    <w:p>
      <w:pPr>
        <w:ind w:firstLine="420" w:firstLineChars="200"/>
        <w:rPr>
          <w:rFonts w:asciiTheme="majorEastAsia" w:hAnsiTheme="majorEastAsia" w:eastAsiaTheme="majorEastAsia"/>
        </w:rPr>
      </w:pPr>
      <w:r>
        <w:rPr>
          <w:rFonts w:hint="eastAsia" w:asciiTheme="majorEastAsia" w:hAnsiTheme="majorEastAsia" w:eastAsiaTheme="majorEastAsia"/>
        </w:rPr>
        <w:t>系部每两周召开一次系部教学工作例会，并规定每周二下午为教学例会（或教研活动）时间。教学工作例会在及时总结教学工作情况，解决教学运行中出现的问题，部署阶段性工作任务等方面发挥了重要的作用；各教研室定期和不定期开展专题研讨活动，通过讨论与交流，推广优秀教学经验，提高教师的课堂教学效果。</w:t>
      </w:r>
    </w:p>
    <w:p>
      <w:pPr>
        <w:ind w:firstLine="420" w:firstLineChars="200"/>
        <w:rPr>
          <w:rFonts w:asciiTheme="majorEastAsia" w:hAnsiTheme="majorEastAsia" w:eastAsiaTheme="majorEastAsia"/>
        </w:rPr>
      </w:pPr>
      <w:r>
        <w:rPr>
          <w:rFonts w:hint="eastAsia" w:asciiTheme="majorEastAsia" w:hAnsiTheme="majorEastAsia" w:eastAsiaTheme="majorEastAsia"/>
        </w:rPr>
        <w:t>4</w:t>
      </w:r>
      <w:r>
        <w:rPr>
          <w:rFonts w:asciiTheme="majorEastAsia" w:hAnsiTheme="majorEastAsia" w:eastAsiaTheme="majorEastAsia"/>
        </w:rPr>
        <w:t>.</w:t>
      </w:r>
      <w:r>
        <w:rPr>
          <w:rFonts w:hint="eastAsia" w:asciiTheme="majorEastAsia" w:hAnsiTheme="majorEastAsia" w:eastAsiaTheme="majorEastAsia"/>
        </w:rPr>
        <w:t>青年教师培养制度</w:t>
      </w:r>
    </w:p>
    <w:p>
      <w:pPr>
        <w:ind w:firstLine="420" w:firstLineChars="200"/>
        <w:rPr>
          <w:rFonts w:asciiTheme="majorEastAsia" w:hAnsiTheme="majorEastAsia" w:eastAsiaTheme="majorEastAsia"/>
        </w:rPr>
      </w:pPr>
      <w:r>
        <w:rPr>
          <w:rFonts w:hint="eastAsia" w:asciiTheme="majorEastAsia" w:hAnsiTheme="majorEastAsia" w:eastAsiaTheme="majorEastAsia"/>
        </w:rPr>
        <w:t>建立导师制，对青年教师进行一对一指导，指导教师由系部领导、专业带头人、骨干教师和副高以上职称教师担任，制定培养方案，定期进行指导交流。青年教师培养制度在提高青年教师的业务水平，促进教师交流提升综合素质，全面提高系部教学质量等方面起到了重要作用、</w:t>
      </w:r>
    </w:p>
    <w:p>
      <w:pPr>
        <w:ind w:firstLine="420" w:firstLineChars="200"/>
        <w:rPr>
          <w:rFonts w:asciiTheme="majorEastAsia" w:hAnsiTheme="majorEastAsia" w:eastAsiaTheme="majorEastAsia"/>
        </w:rPr>
      </w:pPr>
      <w:r>
        <w:rPr>
          <w:rFonts w:hint="eastAsia" w:asciiTheme="majorEastAsia" w:hAnsiTheme="majorEastAsia" w:eastAsiaTheme="majorEastAsia"/>
        </w:rPr>
        <w:t>5</w:t>
      </w:r>
      <w:r>
        <w:rPr>
          <w:rFonts w:asciiTheme="majorEastAsia" w:hAnsiTheme="majorEastAsia" w:eastAsiaTheme="majorEastAsia"/>
        </w:rPr>
        <w:t>.</w:t>
      </w:r>
      <w:r>
        <w:rPr>
          <w:rFonts w:hint="eastAsia" w:asciiTheme="majorEastAsia" w:hAnsiTheme="majorEastAsia" w:eastAsiaTheme="majorEastAsia"/>
        </w:rPr>
        <w:t>学生评教制度</w:t>
      </w:r>
    </w:p>
    <w:p>
      <w:pPr>
        <w:ind w:firstLine="420" w:firstLineChars="200"/>
        <w:rPr>
          <w:rFonts w:asciiTheme="majorEastAsia" w:hAnsiTheme="majorEastAsia" w:eastAsiaTheme="majorEastAsia"/>
        </w:rPr>
      </w:pPr>
      <w:r>
        <w:rPr>
          <w:rFonts w:hint="eastAsia" w:asciiTheme="majorEastAsia" w:hAnsiTheme="majorEastAsia" w:eastAsiaTheme="majorEastAsia"/>
        </w:rPr>
        <w:t>学生评教工作主要通过三种渠道开展：一是每位任课教师负责填写本课程的教学日志，系部和教务处反馈意见，保障教学正常运行；二是各教学单位每学期在期中或期末教学检查过程中，召开由各专业学生代表参加的座谈会，对本班本学期所学的每一门课程进行评价，并对教学计划中的课程设置、实践教学、教学管理等提出意见和建议；三是所有学生通过教学质量评价系统对自己本学期所学课程进行评价打分；据统计，我系学生对教师满意度评价达到良好以上超过95%。</w:t>
      </w:r>
    </w:p>
    <w:p>
      <w:pPr>
        <w:ind w:firstLine="420" w:firstLineChars="200"/>
        <w:rPr>
          <w:rFonts w:asciiTheme="majorEastAsia" w:hAnsiTheme="majorEastAsia" w:eastAsiaTheme="majorEastAsia"/>
        </w:rPr>
      </w:pPr>
      <w:r>
        <w:rPr>
          <w:rFonts w:hint="eastAsia" w:asciiTheme="majorEastAsia" w:hAnsiTheme="majorEastAsia" w:eastAsiaTheme="majorEastAsia"/>
        </w:rPr>
        <w:t>6</w:t>
      </w:r>
      <w:r>
        <w:rPr>
          <w:rFonts w:asciiTheme="majorEastAsia" w:hAnsiTheme="majorEastAsia" w:eastAsiaTheme="majorEastAsia"/>
        </w:rPr>
        <w:t>.</w:t>
      </w:r>
      <w:r>
        <w:rPr>
          <w:rFonts w:hint="eastAsia" w:asciiTheme="majorEastAsia" w:hAnsiTheme="majorEastAsia" w:eastAsiaTheme="majorEastAsia"/>
        </w:rPr>
        <w:t>教师评教、评学制度</w:t>
      </w:r>
    </w:p>
    <w:p>
      <w:pPr>
        <w:ind w:firstLine="420" w:firstLineChars="200"/>
        <w:rPr>
          <w:rFonts w:asciiTheme="majorEastAsia" w:hAnsiTheme="majorEastAsia" w:eastAsiaTheme="majorEastAsia"/>
        </w:rPr>
      </w:pPr>
      <w:r>
        <w:rPr>
          <w:rFonts w:hint="eastAsia" w:asciiTheme="majorEastAsia" w:hAnsiTheme="majorEastAsia" w:eastAsiaTheme="majorEastAsia"/>
        </w:rPr>
        <w:t xml:space="preserve">教师评教分为互评和自评，学院规定每位教师每学期要完成一定数量的听课任务，通过教学质量评价系统相互进行评价打分；二是课程考核结束时，每位教师要对任课课程进行教学总结评价，并对学生成绩进行分析，找出不足并在后续教学中予以改进。 </w:t>
      </w:r>
    </w:p>
    <w:p>
      <w:pPr>
        <w:ind w:firstLine="420" w:firstLineChars="200"/>
        <w:rPr>
          <w:rFonts w:asciiTheme="majorEastAsia" w:hAnsiTheme="majorEastAsia" w:eastAsiaTheme="majorEastAsia"/>
        </w:rPr>
      </w:pPr>
      <w:r>
        <w:rPr>
          <w:rFonts w:hint="eastAsia" w:asciiTheme="majorEastAsia" w:hAnsiTheme="majorEastAsia" w:eastAsiaTheme="majorEastAsia"/>
        </w:rPr>
        <w:t>7</w:t>
      </w:r>
      <w:r>
        <w:rPr>
          <w:rFonts w:asciiTheme="majorEastAsia" w:hAnsiTheme="majorEastAsia" w:eastAsiaTheme="majorEastAsia"/>
        </w:rPr>
        <w:t>.</w:t>
      </w:r>
      <w:r>
        <w:rPr>
          <w:rFonts w:hint="eastAsia" w:asciiTheme="majorEastAsia" w:hAnsiTheme="majorEastAsia" w:eastAsiaTheme="majorEastAsia"/>
        </w:rPr>
        <w:t>学生意见反馈</w:t>
      </w:r>
    </w:p>
    <w:p>
      <w:pPr>
        <w:ind w:firstLine="420" w:firstLineChars="200"/>
        <w:rPr>
          <w:rFonts w:asciiTheme="majorEastAsia" w:hAnsiTheme="majorEastAsia" w:eastAsiaTheme="majorEastAsia"/>
        </w:rPr>
      </w:pPr>
      <w:r>
        <w:rPr>
          <w:rFonts w:hint="eastAsia" w:asciiTheme="majorEastAsia" w:hAnsiTheme="majorEastAsia" w:eastAsiaTheme="majorEastAsia"/>
        </w:rPr>
        <w:t>系办公室设立“测绘系意见箱”，随时收集学生和教师对学院教学工作及的意见和建议，意见箱由系办负责整理，并及时处理和回复。另外，学院和系部的网站均设有留言本和信箱，方便学生及时将对教学工作的意见反馈到教务处和系部，便于及时解决和处理。</w:t>
      </w:r>
    </w:p>
    <w:p>
      <w:pPr>
        <w:ind w:firstLine="420" w:firstLineChars="200"/>
        <w:rPr>
          <w:rFonts w:asciiTheme="majorEastAsia" w:hAnsiTheme="majorEastAsia" w:eastAsiaTheme="majorEastAsia"/>
        </w:rPr>
      </w:pPr>
      <w:r>
        <w:rPr>
          <w:rFonts w:hint="eastAsia" w:asciiTheme="majorEastAsia" w:hAnsiTheme="majorEastAsia" w:eastAsiaTheme="majorEastAsia"/>
        </w:rPr>
        <w:t>8</w:t>
      </w:r>
      <w:r>
        <w:rPr>
          <w:rFonts w:asciiTheme="majorEastAsia" w:hAnsiTheme="majorEastAsia" w:eastAsiaTheme="majorEastAsia"/>
        </w:rPr>
        <w:t>.</w:t>
      </w:r>
      <w:r>
        <w:rPr>
          <w:rFonts w:hint="eastAsia" w:asciiTheme="majorEastAsia" w:hAnsiTheme="majorEastAsia" w:eastAsiaTheme="majorEastAsia"/>
        </w:rPr>
        <w:t>学生学习评价</w:t>
      </w:r>
    </w:p>
    <w:p>
      <w:pPr>
        <w:ind w:firstLine="420" w:firstLineChars="200"/>
        <w:rPr>
          <w:rFonts w:asciiTheme="majorEastAsia" w:hAnsiTheme="majorEastAsia" w:eastAsiaTheme="majorEastAsia"/>
        </w:rPr>
      </w:pPr>
      <w:r>
        <w:rPr>
          <w:rFonts w:hint="eastAsia" w:asciiTheme="majorEastAsia" w:hAnsiTheme="majorEastAsia" w:eastAsiaTheme="majorEastAsia"/>
        </w:rPr>
        <w:t>学习质量“多元化”评价体系工作，建立评价指标体系。</w:t>
      </w:r>
    </w:p>
    <w:p>
      <w:pPr>
        <w:ind w:firstLine="420" w:firstLineChars="200"/>
        <w:rPr>
          <w:rFonts w:asciiTheme="majorEastAsia" w:hAnsiTheme="majorEastAsia" w:eastAsiaTheme="majorEastAsia"/>
        </w:rPr>
      </w:pPr>
      <w:r>
        <w:rPr>
          <w:rFonts w:hint="eastAsia" w:asciiTheme="majorEastAsia" w:hAnsiTheme="majorEastAsia" w:eastAsiaTheme="majorEastAsia"/>
        </w:rPr>
        <w:t>明确“三维一体”的评价内容和评价标准。国家职业标准明确提出对从事相关专业人员的知识、技能、素质三方面的基本要求,是一个通用标准,具有普遍性与指导性。根据工业机器人行业由于自身实际情况会制定具有自身特色的岗位标准,具有特殊性与可操作性。为此,根据本地区产业结构的特点及本院毕业生就业行业的特点建立评价指标体系,明确具体的评价内容和评价标准,以满足企业、学生的要求。 以知识、技能、素质“三维一体”为主的评价内容与评价标准,将学生在课堂的学习与未来的实际工作相结合,体现了职业教育职业性、实践性的特征。具体的评价内容为劳动纪律、精神面貌、工作态度、理论知识、专业知识与规程标准、安全知识与规章制度、组织管理能力、团结合作能力、语言写作能力、实际操作能力、分析判断能力、学习能力、其他能力、创新能力共十四个方面,每个方面给出优秀、合格、不合格三个等级。十四项评价内容都有与未来工作岗位相适应的评价标准,学生达到一定的要求就可评价为相应的等级,每一项内容只要写明具体评价依据,就可进行相应等级的评定,操作十分简便。学生本人完全可以根据自己的情况进行自我评价,其评价结果与学习小组、教师的评价结果基本相同。这种学生学习质量的评价体系不是为了划分学生的学习等级,而是为了掌握学生的学习水平与学习能力。</w:t>
      </w:r>
    </w:p>
    <w:p>
      <w:pPr>
        <w:ind w:firstLine="420" w:firstLineChars="200"/>
        <w:rPr>
          <w:rFonts w:asciiTheme="majorEastAsia" w:hAnsiTheme="majorEastAsia" w:eastAsiaTheme="majorEastAsia"/>
        </w:rPr>
      </w:pPr>
      <w:r>
        <w:rPr>
          <w:rFonts w:hint="eastAsia" w:asciiTheme="majorEastAsia" w:hAnsiTheme="majorEastAsia" w:eastAsiaTheme="majorEastAsia"/>
        </w:rPr>
        <w:t>确定“以学生为主体、教师为主导、企业共同参与”的“三方三段式”评价模式,建立可操作性强的运行机制。评价模式是指在评价活动中有代表性的、可供人参照操作的评价方式或模型,是相对固定的评价程序,它是在一定的理论指导下对评价的基本范围、内容、过程和程序的规定。为了使评价模式能够正常、有序、健康进行,还必须有一整套运行、反馈、监督、申述等完整机制作保证。</w:t>
      </w:r>
    </w:p>
    <w:p>
      <w:pPr>
        <w:ind w:firstLine="420" w:firstLineChars="200"/>
        <w:rPr>
          <w:rFonts w:asciiTheme="majorEastAsia" w:hAnsiTheme="majorEastAsia" w:eastAsiaTheme="majorEastAsia"/>
        </w:rPr>
      </w:pPr>
      <w:r>
        <w:rPr>
          <w:rFonts w:hint="eastAsia" w:asciiTheme="majorEastAsia" w:hAnsiTheme="majorEastAsia" w:eastAsiaTheme="majorEastAsia"/>
        </w:rPr>
        <w:t>建立合理的运行机制,保证评价模式的有序进行。首先,模仿企业班组形式,将全班学生分组,每组以8～10人为宜,设立组长。组长由学生自荐、班主任与班干部推荐、全班投票、差额选举的方式产生。组长的任务是召集本组学生按照每个任务的评价内容与评价标准对每个学生的实际操作、提交作品、完成作业进行评价。教师参与学生小组的评价,并根据自己的观察独立对每个学生进行评价。在课堂模拟仿真学习后,邀请企业专家走进课堂、学生走出课堂到企业的真实环境实际锻炼,接受企业专家按照实际生产岗位标准对学生进行严格的评价,从而完成对学生的“三方”评价。每门课程在课程开始前首先以问卷调查形式进行诊断性评价以了解学生目前的学习状况;教学过程中每完成一个任务就立即进行评价,由所有任务构成的一个项目完成后就进行阶段性评价,目的是总结成绩、找出差距以便于改正;所有项目结束意味着课程结束,进行总结性评价,将学生诊断性评价与总结性评价进行比较,便可看出学生取得的进步与存在的不足,学生可以在将来继续不断改进完善,从而完成对学生的“三段式”评价。在评价过程中,采用开卷、闭卷考试、完成作业、提交作品,并突出强调以口试、答辩评价方式为主,考查学生对理论知识、专业知识、安全知识、学习、分析判断能力的掌握程度;采用课堂观摩学生模拟仿真实际操作的评价方式,着重考察学生的实际动手、团结合作、组织管理、创新能力;对职业素质的考察可按评价指标根据表现直接打分。</w:t>
      </w:r>
    </w:p>
    <w:p>
      <w:pPr>
        <w:ind w:firstLine="420" w:firstLineChars="200"/>
        <w:rPr>
          <w:rFonts w:asciiTheme="majorEastAsia" w:hAnsiTheme="majorEastAsia" w:eastAsiaTheme="majorEastAsia"/>
        </w:rPr>
      </w:pPr>
      <w:r>
        <w:rPr>
          <w:rFonts w:hint="eastAsia" w:asciiTheme="majorEastAsia" w:hAnsiTheme="majorEastAsia" w:eastAsiaTheme="majorEastAsia"/>
        </w:rPr>
        <w:t>建立教学反馈机制,进一步完善、发展评价模式。为了及时发现教学过程、评价过程中出现的问题,教师每周定时举办教师接待日,接受来访学生对教学内容、教学方法、评价内容、评价标准、评价方式的反馈意见与建议,以便及时改正。</w:t>
      </w:r>
    </w:p>
    <w:p>
      <w:pPr>
        <w:ind w:firstLine="420" w:firstLineChars="200"/>
        <w:rPr>
          <w:rFonts w:asciiTheme="majorEastAsia" w:hAnsiTheme="majorEastAsia" w:eastAsiaTheme="majorEastAsia"/>
        </w:rPr>
      </w:pPr>
      <w:r>
        <w:rPr>
          <w:rFonts w:hint="eastAsia" w:asciiTheme="majorEastAsia" w:hAnsiTheme="majorEastAsia" w:eastAsiaTheme="majorEastAsia"/>
        </w:rPr>
        <w:t>建立全员监督、申述机制,保证评价模式的健康运行。教学内容、应掌握的知识、技能、应养成的素养、评价内容、评价标准、评价方式都以任务书的形式在课程开始前下发给每个学生,评价过程的公平、透明性必须依靠所有学生、教师、企业专家共同全员监督,才能保证评价工作健康开展。如果学生对评价过程、评价结果有疑义,可向班级申述小组提起书面申述。申述小组的任务是对学生在评价过程、评价结果产生的疑义进行审议,通过投票的方法决定是否通过。申述小组由五名学生组成,为保证审议结果公正,不设立组长。五名小组成员的产生与学习小组组长产生方法完全相同。</w:t>
      </w:r>
    </w:p>
    <w:p>
      <w:pPr>
        <w:ind w:firstLine="420" w:firstLineChars="200"/>
        <w:rPr>
          <w:rFonts w:asciiTheme="majorEastAsia" w:hAnsiTheme="majorEastAsia" w:eastAsiaTheme="majorEastAsia"/>
        </w:rPr>
      </w:pPr>
      <w:r>
        <w:rPr>
          <w:rFonts w:hint="eastAsia" w:asciiTheme="majorEastAsia" w:hAnsiTheme="majorEastAsia" w:eastAsiaTheme="majorEastAsia"/>
        </w:rPr>
        <w:t>通过对高职学生学习质量“多元化”评价体系的构建与实践,可以实现职业教育目标,完善教育质量评价体系 对学生学习质量的评价是衡量学生学习素养高低和教学目标达成程度的最有效手段。学生学习质量评价体系是对职业院校教学质量评价体系的完善与发展。通过实施“多元化”评价,一是可以有效地检验课程教学目标的实现程度,发现课程在教学内容、教学方法上存在的问题并加以改进;二是可以检验学生在学习过程中存在的问题并加以改进,尤其是学习能力作为一种工作能力,会伴随学生一生,并使其在今后的继续教育、终生教育时受益匪浅,这也正是“多元化”评价体系价值的真正体现。</w:t>
      </w:r>
    </w:p>
    <w:p>
      <w:pPr>
        <w:ind w:firstLine="420" w:firstLineChars="200"/>
        <w:rPr>
          <w:rFonts w:asciiTheme="majorEastAsia" w:hAnsiTheme="majorEastAsia" w:eastAsiaTheme="majorEastAsia"/>
        </w:rPr>
      </w:pPr>
      <w:r>
        <w:rPr>
          <w:rFonts w:asciiTheme="majorEastAsia" w:hAnsiTheme="majorEastAsia" w:eastAsiaTheme="majorEastAsia"/>
        </w:rPr>
        <w:t>9.</w:t>
      </w:r>
      <w:r>
        <w:rPr>
          <w:rFonts w:hint="eastAsia" w:asciiTheme="majorEastAsia" w:hAnsiTheme="majorEastAsia" w:eastAsiaTheme="majorEastAsia"/>
        </w:rPr>
        <w:t>学习质量“多元化”评价体系的改进</w:t>
      </w:r>
    </w:p>
    <w:p>
      <w:pPr>
        <w:ind w:firstLine="420" w:firstLineChars="200"/>
        <w:rPr>
          <w:rFonts w:asciiTheme="majorEastAsia" w:hAnsiTheme="majorEastAsia" w:eastAsiaTheme="majorEastAsia"/>
        </w:rPr>
      </w:pPr>
      <w:r>
        <w:rPr>
          <w:rFonts w:hint="eastAsia" w:asciiTheme="majorEastAsia" w:hAnsiTheme="majorEastAsia" w:eastAsiaTheme="majorEastAsia"/>
        </w:rPr>
        <w:t xml:space="preserve">首先,不断引进、融汇国外先进的评价模式和理念,并与我国的具体实际相结合,继续研究、探索、实践、完善“工学结合、校企合作”人才培养模式下的学生学习质量评价体系。 其次,教考分离,建立“以企业为主体,学生、教师共同参与”的评价模式,学校教学质量要接受学校外部检验,得到相关行业认可。国家和社会要用统一的尺度测量学生的知识能力水平,只有这样的质量认证才具有权威性、科学性和有效性,才有利于社会和用人单位选拔和录用人才。 </w:t>
      </w:r>
    </w:p>
    <w:p>
      <w:pPr>
        <w:pStyle w:val="4"/>
      </w:pPr>
      <w:bookmarkStart w:id="30" w:name="_Toc89793290"/>
      <w:r>
        <w:rPr>
          <w:rFonts w:hint="eastAsia"/>
        </w:rPr>
        <w:t>（六）质量管理</w:t>
      </w:r>
      <w:bookmarkEnd w:id="30"/>
    </w:p>
    <w:p>
      <w:pPr>
        <w:ind w:firstLine="420" w:firstLineChars="200"/>
        <w:rPr>
          <w:rFonts w:asciiTheme="majorEastAsia" w:hAnsiTheme="majorEastAsia" w:eastAsiaTheme="majorEastAsia"/>
        </w:rPr>
      </w:pPr>
      <w:r>
        <w:rPr>
          <w:rFonts w:hint="eastAsia" w:asciiTheme="majorEastAsia" w:hAnsiTheme="majorEastAsia" w:eastAsiaTheme="majorEastAsia"/>
        </w:rPr>
        <w:t>1</w:t>
      </w:r>
      <w:r>
        <w:rPr>
          <w:rFonts w:asciiTheme="majorEastAsia" w:hAnsiTheme="majorEastAsia" w:eastAsiaTheme="majorEastAsia"/>
        </w:rPr>
        <w:t>.</w:t>
      </w:r>
      <w:r>
        <w:rPr>
          <w:rFonts w:hint="eastAsia" w:asciiTheme="majorEastAsia" w:hAnsiTheme="majorEastAsia" w:eastAsiaTheme="majorEastAsia"/>
        </w:rPr>
        <w:t>健全基于ISO9001的教学质量监控、评价运行机制</w:t>
      </w:r>
    </w:p>
    <w:p>
      <w:pPr>
        <w:ind w:firstLine="420" w:firstLineChars="200"/>
        <w:rPr>
          <w:rFonts w:asciiTheme="majorEastAsia" w:hAnsiTheme="majorEastAsia" w:eastAsiaTheme="majorEastAsia"/>
        </w:rPr>
      </w:pPr>
      <w:r>
        <w:rPr>
          <w:rFonts w:hint="eastAsia" w:asciiTheme="majorEastAsia" w:hAnsiTheme="majorEastAsia" w:eastAsiaTheme="majorEastAsia"/>
        </w:rPr>
        <w:t>构建由学生、教师、专业、行业、企业等组成的教学信息反馈体系，及时反馈和处理教学过程中发现的相关问题，形成闭环信息反馈系统。建立企业参与全过程的教学质量监控、评价工作运行机制。采用以学生为主体的课程学习模式，按照ISO9001质量管理体系的标准，创新“过程与结果相结合”的考核评价模式，通过控制学习过程的质量来保证学习结果。根据课程特点，实施“赛课结合”、“课证结合”等多类型、多层次考核评价方法对学习成果进行考核，促进在校生学习主动性的提高。课程评价主体多元化，在关注学生评价、教师评价等内部评价的同时，加强校外实践企业及其它社会评价，使质量意识渗透到人才培养的全过程，且动态作用于人才培养的每一个环节。建设期内，完成专业学生学业多元化评价方案的制定，使教学质量得到显著提升。</w:t>
      </w:r>
    </w:p>
    <w:p>
      <w:pPr>
        <w:ind w:firstLine="420" w:firstLineChars="200"/>
        <w:rPr>
          <w:rFonts w:asciiTheme="majorEastAsia" w:hAnsiTheme="majorEastAsia" w:eastAsiaTheme="majorEastAsia"/>
        </w:rPr>
      </w:pPr>
      <w:r>
        <w:rPr>
          <w:rFonts w:hint="eastAsia" w:asciiTheme="majorEastAsia" w:hAnsiTheme="majorEastAsia" w:eastAsiaTheme="majorEastAsia"/>
        </w:rPr>
        <w:t>2</w:t>
      </w:r>
      <w:r>
        <w:rPr>
          <w:rFonts w:asciiTheme="majorEastAsia" w:hAnsiTheme="majorEastAsia" w:eastAsiaTheme="majorEastAsia"/>
        </w:rPr>
        <w:t>.</w:t>
      </w:r>
      <w:r>
        <w:rPr>
          <w:rFonts w:hint="eastAsia" w:asciiTheme="majorEastAsia" w:hAnsiTheme="majorEastAsia" w:eastAsiaTheme="majorEastAsia"/>
        </w:rPr>
        <w:t>创新“校内与校外”相结合的顶岗实习评价体系，提高顶岗实习质量</w:t>
      </w:r>
    </w:p>
    <w:p>
      <w:pPr>
        <w:ind w:firstLine="420" w:firstLineChars="200"/>
        <w:rPr>
          <w:rFonts w:asciiTheme="majorEastAsia" w:hAnsiTheme="majorEastAsia" w:eastAsiaTheme="majorEastAsia"/>
        </w:rPr>
      </w:pPr>
      <w:r>
        <w:rPr>
          <w:rFonts w:hint="eastAsia" w:asciiTheme="majorEastAsia" w:hAnsiTheme="majorEastAsia" w:eastAsiaTheme="majorEastAsia"/>
        </w:rPr>
        <w:t>建立“学生自我评价、企业评价和学校指导教师评价”相结合的顶岗实习校企多元评价体系，分别赋予权重分配：形成一个较科学、完整的顶岗实习评价体系，保证和提高顶岗实习质量。其中，学生自我评价占20%，主要以学生对自我的客观认知给出评价；企业评价占40%，企业评价以师傅的评价为主，侧重于顶岗实习的过程评价，主要对学生职业素养、专业技能、工作态度、执行力、完成任务的质量等方面按照量化标准评价；学校指导教师评价占40%，学校指导教师主要依据学校“顶岗实习网络平台”，根据实习周记、综合实践报告、实习单位走访检查结果，以及其它联系交流方式，对学生的顶岗能力、实习表现、实习成效等方面按照量化标准检查。</w:t>
      </w:r>
    </w:p>
    <w:p>
      <w:pPr>
        <w:ind w:firstLine="420" w:firstLineChars="200"/>
        <w:rPr>
          <w:rFonts w:asciiTheme="majorEastAsia" w:hAnsiTheme="majorEastAsia" w:eastAsiaTheme="majorEastAsia"/>
        </w:rPr>
      </w:pPr>
      <w:r>
        <w:rPr>
          <w:rFonts w:hint="eastAsia" w:asciiTheme="majorEastAsia" w:hAnsiTheme="majorEastAsia" w:eastAsiaTheme="majorEastAsia"/>
        </w:rPr>
        <w:t>3</w:t>
      </w:r>
      <w:r>
        <w:rPr>
          <w:rFonts w:asciiTheme="majorEastAsia" w:hAnsiTheme="majorEastAsia" w:eastAsiaTheme="majorEastAsia"/>
        </w:rPr>
        <w:t>.</w:t>
      </w:r>
      <w:r>
        <w:rPr>
          <w:rFonts w:hint="eastAsia" w:asciiTheme="majorEastAsia" w:hAnsiTheme="majorEastAsia" w:eastAsiaTheme="majorEastAsia"/>
        </w:rPr>
        <w:t>实现毕业生跟踪调查的常态化，形成专业的自我诊断与改进机制</w:t>
      </w:r>
    </w:p>
    <w:p>
      <w:pPr>
        <w:ind w:firstLine="420" w:firstLineChars="200"/>
        <w:rPr>
          <w:rFonts w:asciiTheme="majorEastAsia" w:hAnsiTheme="majorEastAsia" w:eastAsiaTheme="majorEastAsia"/>
        </w:rPr>
      </w:pPr>
      <w:r>
        <w:rPr>
          <w:rFonts w:hint="eastAsia" w:asciiTheme="majorEastAsia" w:hAnsiTheme="majorEastAsia" w:eastAsiaTheme="majorEastAsia"/>
        </w:rPr>
        <w:t>通过第三方调查机构（如麦可思数据有限公司）进行毕业生常态化的互动走访、问卷调查、座谈等，建立和更新毕业生档案，调查毕业生首次就业岗位、2-3年的工作岗位以及5年后工作岗位的变迁，以此作为自我评价专业建设与岗位需求、课程体系与职业能力培养的参考，形成专业的自我诊断与改进机制。</w:t>
      </w:r>
    </w:p>
    <w:p>
      <w:pPr>
        <w:pStyle w:val="3"/>
      </w:pPr>
      <w:bookmarkStart w:id="31" w:name="_Toc89793291"/>
      <w:r>
        <w:rPr>
          <w:rFonts w:hint="eastAsia"/>
        </w:rPr>
        <w:t>九、毕业要求</w:t>
      </w:r>
      <w:bookmarkEnd w:id="31"/>
    </w:p>
    <w:p>
      <w:pPr>
        <w:pStyle w:val="4"/>
      </w:pPr>
      <w:bookmarkStart w:id="32" w:name="_Toc89793292"/>
      <w:r>
        <w:rPr>
          <w:rFonts w:hint="eastAsia"/>
        </w:rPr>
        <w:t>（一）学分要求</w:t>
      </w:r>
      <w:bookmarkEnd w:id="32"/>
    </w:p>
    <w:p>
      <w:pPr>
        <w:ind w:firstLine="420" w:firstLineChars="200"/>
        <w:rPr>
          <w:rFonts w:asciiTheme="majorEastAsia" w:hAnsiTheme="majorEastAsia" w:eastAsiaTheme="majorEastAsia"/>
        </w:rPr>
      </w:pPr>
      <w:r>
        <w:rPr>
          <w:rFonts w:hint="eastAsia" w:asciiTheme="majorEastAsia" w:hAnsiTheme="majorEastAsia" w:eastAsiaTheme="majorEastAsia"/>
        </w:rPr>
        <w:t>本专业按学年学分制安排课程，学生需在规定年限内修满</w:t>
      </w:r>
      <w:r>
        <w:rPr>
          <w:rFonts w:hint="eastAsia" w:asciiTheme="minorEastAsia" w:hAnsiTheme="minorEastAsia"/>
        </w:rPr>
        <w:t>1</w:t>
      </w:r>
      <w:r>
        <w:rPr>
          <w:rFonts w:asciiTheme="minorEastAsia" w:hAnsiTheme="minorEastAsia"/>
        </w:rPr>
        <w:t>3</w:t>
      </w:r>
      <w:r>
        <w:rPr>
          <w:rFonts w:hint="eastAsia" w:asciiTheme="minorEastAsia" w:hAnsiTheme="minorEastAsia"/>
          <w:lang w:val="en-US" w:eastAsia="zh-CN"/>
        </w:rPr>
        <w:t>4</w:t>
      </w:r>
      <w:r>
        <w:rPr>
          <w:rFonts w:asciiTheme="minorEastAsia" w:hAnsiTheme="minorEastAsia"/>
        </w:rPr>
        <w:t>.</w:t>
      </w:r>
      <w:r>
        <w:rPr>
          <w:rFonts w:hint="eastAsia" w:asciiTheme="minorEastAsia" w:hAnsiTheme="minorEastAsia"/>
          <w:lang w:val="en-US" w:eastAsia="zh-CN"/>
        </w:rPr>
        <w:t>0</w:t>
      </w:r>
      <w:r>
        <w:rPr>
          <w:rFonts w:hint="eastAsia" w:asciiTheme="majorEastAsia" w:hAnsiTheme="majorEastAsia" w:eastAsiaTheme="majorEastAsia"/>
        </w:rPr>
        <w:t>学分。</w:t>
      </w:r>
    </w:p>
    <w:p>
      <w:pPr>
        <w:pStyle w:val="4"/>
      </w:pPr>
      <w:bookmarkStart w:id="33" w:name="_Toc89793293"/>
      <w:r>
        <w:rPr>
          <w:rFonts w:hint="eastAsia"/>
        </w:rPr>
        <w:t>（二）体质测试要求</w:t>
      </w:r>
      <w:bookmarkEnd w:id="33"/>
    </w:p>
    <w:p>
      <w:pPr>
        <w:ind w:firstLine="420" w:firstLineChars="200"/>
        <w:rPr>
          <w:rFonts w:asciiTheme="majorEastAsia" w:hAnsiTheme="majorEastAsia" w:eastAsiaTheme="majorEastAsia"/>
        </w:rPr>
      </w:pPr>
      <w:r>
        <w:rPr>
          <w:rFonts w:hint="eastAsia" w:asciiTheme="majorEastAsia" w:hAnsiTheme="majorEastAsia" w:eastAsiaTheme="majorEastAsia"/>
        </w:rPr>
        <w:t>根据教育部关于印发《国家学生体质健康标准（2014年）修订》的通知（教体艺〔2014〕5号）文件要求，体质测试成绩达不到50分者按结业或肄业处理。</w:t>
      </w:r>
    </w:p>
    <w:p>
      <w:pPr>
        <w:pStyle w:val="4"/>
      </w:pPr>
      <w:bookmarkStart w:id="34" w:name="_Toc89793294"/>
      <w:r>
        <w:rPr>
          <w:rFonts w:hint="eastAsia"/>
        </w:rPr>
        <w:t>（三）德智体美劳全面发展培养要求</w:t>
      </w:r>
      <w:bookmarkEnd w:id="34"/>
    </w:p>
    <w:p>
      <w:pPr>
        <w:ind w:firstLine="420" w:firstLineChars="200"/>
        <w:rPr>
          <w:rFonts w:asciiTheme="majorEastAsia" w:hAnsiTheme="majorEastAsia" w:eastAsiaTheme="majorEastAsia"/>
        </w:rPr>
      </w:pPr>
      <w:r>
        <w:rPr>
          <w:rFonts w:hint="eastAsia" w:asciiTheme="majorEastAsia" w:hAnsiTheme="majorEastAsia" w:eastAsiaTheme="majorEastAsia"/>
        </w:rPr>
        <w:t>学生在校期间需参加第一课堂学习和参与第二课堂各类综合素质活动，通过综合评价，成绩合格（60分及以上）准予毕业。</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427565"/>
    </w:sdtPr>
    <w:sdtContent>
      <w:p>
        <w:pPr>
          <w:pStyle w:val="6"/>
          <w:jc w:val="center"/>
        </w:pPr>
        <w:r>
          <w:fldChar w:fldCharType="begin"/>
        </w:r>
        <w:r>
          <w:instrText xml:space="preserve">PAGE   \* MERGEFORMAT</w:instrText>
        </w:r>
        <w:r>
          <w:fldChar w:fldCharType="separate"/>
        </w:r>
        <w:r>
          <w:rPr>
            <w:lang w:val="zh-CN"/>
          </w:rPr>
          <w:t>18</w:t>
        </w:r>
        <w:r>
          <w:fldChar w:fldCharType="end"/>
        </w:r>
      </w:p>
    </w:sdtContent>
  </w:sdt>
  <w:p>
    <w:pPr>
      <w:pStyle w:val="6"/>
      <w:tabs>
        <w:tab w:val="center" w:pos="4723"/>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C05E75"/>
    <w:rsid w:val="00001C8D"/>
    <w:rsid w:val="00001EFB"/>
    <w:rsid w:val="0000215E"/>
    <w:rsid w:val="00002617"/>
    <w:rsid w:val="00003542"/>
    <w:rsid w:val="0000356D"/>
    <w:rsid w:val="0000535D"/>
    <w:rsid w:val="00005440"/>
    <w:rsid w:val="00005793"/>
    <w:rsid w:val="000069DC"/>
    <w:rsid w:val="0000730F"/>
    <w:rsid w:val="0000795C"/>
    <w:rsid w:val="0001059D"/>
    <w:rsid w:val="00012A23"/>
    <w:rsid w:val="00013424"/>
    <w:rsid w:val="0001610A"/>
    <w:rsid w:val="000165EF"/>
    <w:rsid w:val="0001751C"/>
    <w:rsid w:val="00022BE4"/>
    <w:rsid w:val="00022E4B"/>
    <w:rsid w:val="00024B16"/>
    <w:rsid w:val="000270D9"/>
    <w:rsid w:val="00027CBC"/>
    <w:rsid w:val="000300AD"/>
    <w:rsid w:val="000300ED"/>
    <w:rsid w:val="0003024B"/>
    <w:rsid w:val="00031666"/>
    <w:rsid w:val="00031DC5"/>
    <w:rsid w:val="00032211"/>
    <w:rsid w:val="0003279D"/>
    <w:rsid w:val="000329F6"/>
    <w:rsid w:val="00032B65"/>
    <w:rsid w:val="00032CF5"/>
    <w:rsid w:val="0003476D"/>
    <w:rsid w:val="00034EB6"/>
    <w:rsid w:val="000363F9"/>
    <w:rsid w:val="0003657F"/>
    <w:rsid w:val="00036947"/>
    <w:rsid w:val="00036A3B"/>
    <w:rsid w:val="000412D1"/>
    <w:rsid w:val="00042101"/>
    <w:rsid w:val="00043599"/>
    <w:rsid w:val="00045DE1"/>
    <w:rsid w:val="000462BB"/>
    <w:rsid w:val="00050FA0"/>
    <w:rsid w:val="000531C2"/>
    <w:rsid w:val="00055480"/>
    <w:rsid w:val="00055708"/>
    <w:rsid w:val="00055C34"/>
    <w:rsid w:val="000567D3"/>
    <w:rsid w:val="00057239"/>
    <w:rsid w:val="00057F8E"/>
    <w:rsid w:val="00060358"/>
    <w:rsid w:val="00062F9F"/>
    <w:rsid w:val="00064373"/>
    <w:rsid w:val="00064491"/>
    <w:rsid w:val="00066AE0"/>
    <w:rsid w:val="000700EA"/>
    <w:rsid w:val="00070FAA"/>
    <w:rsid w:val="000717A2"/>
    <w:rsid w:val="00073439"/>
    <w:rsid w:val="00074E97"/>
    <w:rsid w:val="00080383"/>
    <w:rsid w:val="00081CF8"/>
    <w:rsid w:val="00084918"/>
    <w:rsid w:val="00084EB1"/>
    <w:rsid w:val="00085942"/>
    <w:rsid w:val="0008643D"/>
    <w:rsid w:val="00086CD8"/>
    <w:rsid w:val="00090499"/>
    <w:rsid w:val="00090CF7"/>
    <w:rsid w:val="00090FF6"/>
    <w:rsid w:val="00091A58"/>
    <w:rsid w:val="00092B61"/>
    <w:rsid w:val="0009331F"/>
    <w:rsid w:val="00093B12"/>
    <w:rsid w:val="00093B67"/>
    <w:rsid w:val="00093DBF"/>
    <w:rsid w:val="00096945"/>
    <w:rsid w:val="00096A2F"/>
    <w:rsid w:val="000A23A3"/>
    <w:rsid w:val="000A29AA"/>
    <w:rsid w:val="000A30DA"/>
    <w:rsid w:val="000A3DD9"/>
    <w:rsid w:val="000A51A0"/>
    <w:rsid w:val="000A6B24"/>
    <w:rsid w:val="000B108E"/>
    <w:rsid w:val="000B313C"/>
    <w:rsid w:val="000B3F54"/>
    <w:rsid w:val="000B4E25"/>
    <w:rsid w:val="000B50A9"/>
    <w:rsid w:val="000B5F58"/>
    <w:rsid w:val="000B76A1"/>
    <w:rsid w:val="000B779B"/>
    <w:rsid w:val="000C3651"/>
    <w:rsid w:val="000C4B5D"/>
    <w:rsid w:val="000C4C6E"/>
    <w:rsid w:val="000C722C"/>
    <w:rsid w:val="000D05CC"/>
    <w:rsid w:val="000D0844"/>
    <w:rsid w:val="000D3B17"/>
    <w:rsid w:val="000D3F96"/>
    <w:rsid w:val="000D44E7"/>
    <w:rsid w:val="000D4D00"/>
    <w:rsid w:val="000D5A9E"/>
    <w:rsid w:val="000D6716"/>
    <w:rsid w:val="000D6E7B"/>
    <w:rsid w:val="000E1D32"/>
    <w:rsid w:val="000E2C4F"/>
    <w:rsid w:val="000E350E"/>
    <w:rsid w:val="000E673F"/>
    <w:rsid w:val="000E6D92"/>
    <w:rsid w:val="000F3C03"/>
    <w:rsid w:val="000F4564"/>
    <w:rsid w:val="000F5692"/>
    <w:rsid w:val="000F5EBB"/>
    <w:rsid w:val="0010088D"/>
    <w:rsid w:val="001036FD"/>
    <w:rsid w:val="0010477F"/>
    <w:rsid w:val="00104E81"/>
    <w:rsid w:val="00105D55"/>
    <w:rsid w:val="00106327"/>
    <w:rsid w:val="001070BD"/>
    <w:rsid w:val="001103F3"/>
    <w:rsid w:val="00112356"/>
    <w:rsid w:val="00112EC7"/>
    <w:rsid w:val="001148C6"/>
    <w:rsid w:val="00120E24"/>
    <w:rsid w:val="0012149E"/>
    <w:rsid w:val="001225A5"/>
    <w:rsid w:val="00122C59"/>
    <w:rsid w:val="00122D27"/>
    <w:rsid w:val="001246FB"/>
    <w:rsid w:val="001257DF"/>
    <w:rsid w:val="00125946"/>
    <w:rsid w:val="0012647D"/>
    <w:rsid w:val="00127612"/>
    <w:rsid w:val="001307A2"/>
    <w:rsid w:val="00130F9A"/>
    <w:rsid w:val="00131823"/>
    <w:rsid w:val="00132D14"/>
    <w:rsid w:val="00132D2C"/>
    <w:rsid w:val="00134280"/>
    <w:rsid w:val="001345BB"/>
    <w:rsid w:val="00135950"/>
    <w:rsid w:val="00135E5B"/>
    <w:rsid w:val="00136A00"/>
    <w:rsid w:val="00136AB9"/>
    <w:rsid w:val="001373DF"/>
    <w:rsid w:val="00137C47"/>
    <w:rsid w:val="00141191"/>
    <w:rsid w:val="0014470D"/>
    <w:rsid w:val="00144DA5"/>
    <w:rsid w:val="00145DE6"/>
    <w:rsid w:val="00146B2E"/>
    <w:rsid w:val="00146E1E"/>
    <w:rsid w:val="001500F7"/>
    <w:rsid w:val="001512A9"/>
    <w:rsid w:val="00151B21"/>
    <w:rsid w:val="001522A1"/>
    <w:rsid w:val="001542A9"/>
    <w:rsid w:val="00154387"/>
    <w:rsid w:val="00156AE8"/>
    <w:rsid w:val="00161588"/>
    <w:rsid w:val="0016312E"/>
    <w:rsid w:val="001639B3"/>
    <w:rsid w:val="00164990"/>
    <w:rsid w:val="00165D14"/>
    <w:rsid w:val="00166764"/>
    <w:rsid w:val="00167C10"/>
    <w:rsid w:val="00171B81"/>
    <w:rsid w:val="001729AE"/>
    <w:rsid w:val="001751BE"/>
    <w:rsid w:val="001757B2"/>
    <w:rsid w:val="001770DA"/>
    <w:rsid w:val="00177757"/>
    <w:rsid w:val="001778C5"/>
    <w:rsid w:val="00180A78"/>
    <w:rsid w:val="00180F0A"/>
    <w:rsid w:val="00183939"/>
    <w:rsid w:val="00184D15"/>
    <w:rsid w:val="00185DE4"/>
    <w:rsid w:val="00185F8E"/>
    <w:rsid w:val="001901F2"/>
    <w:rsid w:val="00190248"/>
    <w:rsid w:val="00191322"/>
    <w:rsid w:val="00193F12"/>
    <w:rsid w:val="00194C06"/>
    <w:rsid w:val="00195442"/>
    <w:rsid w:val="00196469"/>
    <w:rsid w:val="0019770D"/>
    <w:rsid w:val="00197C29"/>
    <w:rsid w:val="001A1F2F"/>
    <w:rsid w:val="001A21DA"/>
    <w:rsid w:val="001A4367"/>
    <w:rsid w:val="001A6508"/>
    <w:rsid w:val="001A65F3"/>
    <w:rsid w:val="001A6BA9"/>
    <w:rsid w:val="001A6CF3"/>
    <w:rsid w:val="001A78FD"/>
    <w:rsid w:val="001A7E29"/>
    <w:rsid w:val="001B3316"/>
    <w:rsid w:val="001B4EBB"/>
    <w:rsid w:val="001B553F"/>
    <w:rsid w:val="001B5C0F"/>
    <w:rsid w:val="001C228B"/>
    <w:rsid w:val="001C2312"/>
    <w:rsid w:val="001C32C8"/>
    <w:rsid w:val="001C375C"/>
    <w:rsid w:val="001C49DF"/>
    <w:rsid w:val="001C50C8"/>
    <w:rsid w:val="001C5356"/>
    <w:rsid w:val="001C568A"/>
    <w:rsid w:val="001C7CE0"/>
    <w:rsid w:val="001D0935"/>
    <w:rsid w:val="001D0D0A"/>
    <w:rsid w:val="001D13FA"/>
    <w:rsid w:val="001D2F80"/>
    <w:rsid w:val="001D4030"/>
    <w:rsid w:val="001D5F7E"/>
    <w:rsid w:val="001D65C6"/>
    <w:rsid w:val="001D729D"/>
    <w:rsid w:val="001D7776"/>
    <w:rsid w:val="001E14B5"/>
    <w:rsid w:val="001E1966"/>
    <w:rsid w:val="001E1B2E"/>
    <w:rsid w:val="001E2ED4"/>
    <w:rsid w:val="001E308B"/>
    <w:rsid w:val="001E5578"/>
    <w:rsid w:val="001E61E8"/>
    <w:rsid w:val="001E6AC6"/>
    <w:rsid w:val="001F0014"/>
    <w:rsid w:val="001F00F6"/>
    <w:rsid w:val="001F0D9C"/>
    <w:rsid w:val="001F33CF"/>
    <w:rsid w:val="001F345D"/>
    <w:rsid w:val="001F34C8"/>
    <w:rsid w:val="001F3538"/>
    <w:rsid w:val="001F4787"/>
    <w:rsid w:val="001F58C9"/>
    <w:rsid w:val="001F5A73"/>
    <w:rsid w:val="001F680C"/>
    <w:rsid w:val="0020067B"/>
    <w:rsid w:val="00200E4E"/>
    <w:rsid w:val="002020C8"/>
    <w:rsid w:val="002034C6"/>
    <w:rsid w:val="00203607"/>
    <w:rsid w:val="00204F45"/>
    <w:rsid w:val="00205E40"/>
    <w:rsid w:val="0020790F"/>
    <w:rsid w:val="00207C6D"/>
    <w:rsid w:val="00207E55"/>
    <w:rsid w:val="0021097A"/>
    <w:rsid w:val="00210CAE"/>
    <w:rsid w:val="0021124B"/>
    <w:rsid w:val="00211B7B"/>
    <w:rsid w:val="00213CC3"/>
    <w:rsid w:val="00214894"/>
    <w:rsid w:val="00216594"/>
    <w:rsid w:val="0021670F"/>
    <w:rsid w:val="0022026C"/>
    <w:rsid w:val="00221119"/>
    <w:rsid w:val="0022150F"/>
    <w:rsid w:val="002221A7"/>
    <w:rsid w:val="00222EA9"/>
    <w:rsid w:val="002234D5"/>
    <w:rsid w:val="002267CF"/>
    <w:rsid w:val="00226ED5"/>
    <w:rsid w:val="00227F79"/>
    <w:rsid w:val="00230762"/>
    <w:rsid w:val="002315EE"/>
    <w:rsid w:val="002336E0"/>
    <w:rsid w:val="0023384D"/>
    <w:rsid w:val="00233D43"/>
    <w:rsid w:val="00235FC3"/>
    <w:rsid w:val="0023611B"/>
    <w:rsid w:val="00237196"/>
    <w:rsid w:val="0024108A"/>
    <w:rsid w:val="00241590"/>
    <w:rsid w:val="002421D9"/>
    <w:rsid w:val="00243E14"/>
    <w:rsid w:val="00243F9B"/>
    <w:rsid w:val="0024535B"/>
    <w:rsid w:val="002459E8"/>
    <w:rsid w:val="00250F95"/>
    <w:rsid w:val="002523BC"/>
    <w:rsid w:val="00252776"/>
    <w:rsid w:val="00252FCC"/>
    <w:rsid w:val="00253916"/>
    <w:rsid w:val="00254CBC"/>
    <w:rsid w:val="00256F6D"/>
    <w:rsid w:val="00257522"/>
    <w:rsid w:val="002605F5"/>
    <w:rsid w:val="00262366"/>
    <w:rsid w:val="00265503"/>
    <w:rsid w:val="00265DCE"/>
    <w:rsid w:val="00266DA3"/>
    <w:rsid w:val="002738AD"/>
    <w:rsid w:val="002751AC"/>
    <w:rsid w:val="00275C09"/>
    <w:rsid w:val="00276496"/>
    <w:rsid w:val="00276E33"/>
    <w:rsid w:val="002811E7"/>
    <w:rsid w:val="00281378"/>
    <w:rsid w:val="00284247"/>
    <w:rsid w:val="002844E3"/>
    <w:rsid w:val="0028450A"/>
    <w:rsid w:val="00284684"/>
    <w:rsid w:val="00286A8D"/>
    <w:rsid w:val="00286B32"/>
    <w:rsid w:val="00287A54"/>
    <w:rsid w:val="002902CD"/>
    <w:rsid w:val="002904F6"/>
    <w:rsid w:val="00290661"/>
    <w:rsid w:val="00290A3F"/>
    <w:rsid w:val="00291165"/>
    <w:rsid w:val="00291B3F"/>
    <w:rsid w:val="00293529"/>
    <w:rsid w:val="002938DE"/>
    <w:rsid w:val="002941F5"/>
    <w:rsid w:val="0029639D"/>
    <w:rsid w:val="002970FA"/>
    <w:rsid w:val="00297B16"/>
    <w:rsid w:val="002A2BD9"/>
    <w:rsid w:val="002A2D51"/>
    <w:rsid w:val="002A2DB1"/>
    <w:rsid w:val="002A5152"/>
    <w:rsid w:val="002A7756"/>
    <w:rsid w:val="002B1D17"/>
    <w:rsid w:val="002B2A24"/>
    <w:rsid w:val="002B2F11"/>
    <w:rsid w:val="002B3054"/>
    <w:rsid w:val="002B51F9"/>
    <w:rsid w:val="002C2307"/>
    <w:rsid w:val="002C302E"/>
    <w:rsid w:val="002C3E00"/>
    <w:rsid w:val="002C415A"/>
    <w:rsid w:val="002C535A"/>
    <w:rsid w:val="002D0C5B"/>
    <w:rsid w:val="002D2175"/>
    <w:rsid w:val="002D40EC"/>
    <w:rsid w:val="002D5120"/>
    <w:rsid w:val="002D563B"/>
    <w:rsid w:val="002D5C80"/>
    <w:rsid w:val="002D6F28"/>
    <w:rsid w:val="002E0A99"/>
    <w:rsid w:val="002E0AA1"/>
    <w:rsid w:val="002E0DDD"/>
    <w:rsid w:val="002E1751"/>
    <w:rsid w:val="002E1930"/>
    <w:rsid w:val="002E19A4"/>
    <w:rsid w:val="002E3773"/>
    <w:rsid w:val="002E3AEB"/>
    <w:rsid w:val="002E3C94"/>
    <w:rsid w:val="002E5776"/>
    <w:rsid w:val="002E7837"/>
    <w:rsid w:val="002F051D"/>
    <w:rsid w:val="002F062D"/>
    <w:rsid w:val="002F0B10"/>
    <w:rsid w:val="002F1E01"/>
    <w:rsid w:val="002F29E5"/>
    <w:rsid w:val="002F3872"/>
    <w:rsid w:val="002F39B6"/>
    <w:rsid w:val="002F3B86"/>
    <w:rsid w:val="002F4C77"/>
    <w:rsid w:val="002F58C2"/>
    <w:rsid w:val="002F7483"/>
    <w:rsid w:val="002F76B4"/>
    <w:rsid w:val="00300141"/>
    <w:rsid w:val="00301BC8"/>
    <w:rsid w:val="003026CB"/>
    <w:rsid w:val="003037E4"/>
    <w:rsid w:val="0030756A"/>
    <w:rsid w:val="003141B0"/>
    <w:rsid w:val="0031475E"/>
    <w:rsid w:val="00315754"/>
    <w:rsid w:val="003158CD"/>
    <w:rsid w:val="00316ABB"/>
    <w:rsid w:val="00316BBA"/>
    <w:rsid w:val="003176D0"/>
    <w:rsid w:val="003212A9"/>
    <w:rsid w:val="00321F33"/>
    <w:rsid w:val="00323301"/>
    <w:rsid w:val="00323838"/>
    <w:rsid w:val="00323BB4"/>
    <w:rsid w:val="00323D25"/>
    <w:rsid w:val="0032481F"/>
    <w:rsid w:val="00324A42"/>
    <w:rsid w:val="00324ED9"/>
    <w:rsid w:val="0032539E"/>
    <w:rsid w:val="003256B3"/>
    <w:rsid w:val="003313A5"/>
    <w:rsid w:val="003320C2"/>
    <w:rsid w:val="0033236A"/>
    <w:rsid w:val="00332A30"/>
    <w:rsid w:val="00334F18"/>
    <w:rsid w:val="0033550F"/>
    <w:rsid w:val="003357A5"/>
    <w:rsid w:val="0033627B"/>
    <w:rsid w:val="00336822"/>
    <w:rsid w:val="00336FCC"/>
    <w:rsid w:val="0033777D"/>
    <w:rsid w:val="0034161A"/>
    <w:rsid w:val="003424D3"/>
    <w:rsid w:val="00342D15"/>
    <w:rsid w:val="00342EB7"/>
    <w:rsid w:val="003433D0"/>
    <w:rsid w:val="0034349B"/>
    <w:rsid w:val="00347427"/>
    <w:rsid w:val="00347BB3"/>
    <w:rsid w:val="00350098"/>
    <w:rsid w:val="00351593"/>
    <w:rsid w:val="00352681"/>
    <w:rsid w:val="00352C9C"/>
    <w:rsid w:val="0035403A"/>
    <w:rsid w:val="00360265"/>
    <w:rsid w:val="0036034B"/>
    <w:rsid w:val="00360C4E"/>
    <w:rsid w:val="00360DA6"/>
    <w:rsid w:val="003610AE"/>
    <w:rsid w:val="00361E33"/>
    <w:rsid w:val="0036615C"/>
    <w:rsid w:val="00370E03"/>
    <w:rsid w:val="0037281E"/>
    <w:rsid w:val="00374770"/>
    <w:rsid w:val="0037534B"/>
    <w:rsid w:val="00375DDD"/>
    <w:rsid w:val="0037631E"/>
    <w:rsid w:val="003767A4"/>
    <w:rsid w:val="00377022"/>
    <w:rsid w:val="00377ADD"/>
    <w:rsid w:val="00377BF0"/>
    <w:rsid w:val="003825C1"/>
    <w:rsid w:val="0038279C"/>
    <w:rsid w:val="00382FDD"/>
    <w:rsid w:val="0038342B"/>
    <w:rsid w:val="00383C27"/>
    <w:rsid w:val="00384147"/>
    <w:rsid w:val="00384AA5"/>
    <w:rsid w:val="00385F08"/>
    <w:rsid w:val="00386F59"/>
    <w:rsid w:val="003901F2"/>
    <w:rsid w:val="003931E3"/>
    <w:rsid w:val="00393849"/>
    <w:rsid w:val="0039427D"/>
    <w:rsid w:val="00394350"/>
    <w:rsid w:val="00394448"/>
    <w:rsid w:val="0039592D"/>
    <w:rsid w:val="00395A5A"/>
    <w:rsid w:val="0039625D"/>
    <w:rsid w:val="003A0457"/>
    <w:rsid w:val="003A189A"/>
    <w:rsid w:val="003A378D"/>
    <w:rsid w:val="003A4414"/>
    <w:rsid w:val="003A4E5B"/>
    <w:rsid w:val="003A546B"/>
    <w:rsid w:val="003A6C50"/>
    <w:rsid w:val="003A6F8E"/>
    <w:rsid w:val="003B0225"/>
    <w:rsid w:val="003B1BFA"/>
    <w:rsid w:val="003B1FBC"/>
    <w:rsid w:val="003B2AA0"/>
    <w:rsid w:val="003B77D2"/>
    <w:rsid w:val="003B7CBF"/>
    <w:rsid w:val="003C1677"/>
    <w:rsid w:val="003C204C"/>
    <w:rsid w:val="003C4650"/>
    <w:rsid w:val="003C5A81"/>
    <w:rsid w:val="003D0D9F"/>
    <w:rsid w:val="003D0F23"/>
    <w:rsid w:val="003D1383"/>
    <w:rsid w:val="003D1485"/>
    <w:rsid w:val="003D33BD"/>
    <w:rsid w:val="003D3F7E"/>
    <w:rsid w:val="003D4895"/>
    <w:rsid w:val="003D7835"/>
    <w:rsid w:val="003E0311"/>
    <w:rsid w:val="003E11BF"/>
    <w:rsid w:val="003E15DA"/>
    <w:rsid w:val="003E3731"/>
    <w:rsid w:val="003E3A57"/>
    <w:rsid w:val="003E3C17"/>
    <w:rsid w:val="003E51F4"/>
    <w:rsid w:val="003E5603"/>
    <w:rsid w:val="003E5674"/>
    <w:rsid w:val="003E6089"/>
    <w:rsid w:val="003F0024"/>
    <w:rsid w:val="003F1229"/>
    <w:rsid w:val="003F2A2D"/>
    <w:rsid w:val="003F377B"/>
    <w:rsid w:val="003F3FD1"/>
    <w:rsid w:val="003F5287"/>
    <w:rsid w:val="003F7474"/>
    <w:rsid w:val="00400472"/>
    <w:rsid w:val="0040069F"/>
    <w:rsid w:val="004019A5"/>
    <w:rsid w:val="00402943"/>
    <w:rsid w:val="004032C6"/>
    <w:rsid w:val="004038CA"/>
    <w:rsid w:val="00403A99"/>
    <w:rsid w:val="004044D1"/>
    <w:rsid w:val="0040460A"/>
    <w:rsid w:val="004051BE"/>
    <w:rsid w:val="00407580"/>
    <w:rsid w:val="00410977"/>
    <w:rsid w:val="0041246E"/>
    <w:rsid w:val="00412AC9"/>
    <w:rsid w:val="00412EBF"/>
    <w:rsid w:val="0041392E"/>
    <w:rsid w:val="0041497A"/>
    <w:rsid w:val="0041545B"/>
    <w:rsid w:val="0041755B"/>
    <w:rsid w:val="004175B6"/>
    <w:rsid w:val="00417B31"/>
    <w:rsid w:val="00421E82"/>
    <w:rsid w:val="00425A1B"/>
    <w:rsid w:val="00426BFD"/>
    <w:rsid w:val="00430069"/>
    <w:rsid w:val="0043013C"/>
    <w:rsid w:val="004303A7"/>
    <w:rsid w:val="00431598"/>
    <w:rsid w:val="004317CD"/>
    <w:rsid w:val="004321F6"/>
    <w:rsid w:val="0043258B"/>
    <w:rsid w:val="00432D78"/>
    <w:rsid w:val="0043482A"/>
    <w:rsid w:val="004352D3"/>
    <w:rsid w:val="0043604D"/>
    <w:rsid w:val="00437FC9"/>
    <w:rsid w:val="00441D6D"/>
    <w:rsid w:val="0044261B"/>
    <w:rsid w:val="004448A9"/>
    <w:rsid w:val="0044511C"/>
    <w:rsid w:val="00447586"/>
    <w:rsid w:val="00447594"/>
    <w:rsid w:val="00447770"/>
    <w:rsid w:val="004527BA"/>
    <w:rsid w:val="00453F20"/>
    <w:rsid w:val="0045427C"/>
    <w:rsid w:val="00454A02"/>
    <w:rsid w:val="00455573"/>
    <w:rsid w:val="00455646"/>
    <w:rsid w:val="00456B04"/>
    <w:rsid w:val="00457693"/>
    <w:rsid w:val="0046032C"/>
    <w:rsid w:val="00460834"/>
    <w:rsid w:val="00461A89"/>
    <w:rsid w:val="00463298"/>
    <w:rsid w:val="00465021"/>
    <w:rsid w:val="004655A7"/>
    <w:rsid w:val="00465C66"/>
    <w:rsid w:val="004672D3"/>
    <w:rsid w:val="00467D73"/>
    <w:rsid w:val="00471583"/>
    <w:rsid w:val="00471C05"/>
    <w:rsid w:val="0047308C"/>
    <w:rsid w:val="0047418C"/>
    <w:rsid w:val="00476499"/>
    <w:rsid w:val="0047766A"/>
    <w:rsid w:val="00477939"/>
    <w:rsid w:val="00481E3E"/>
    <w:rsid w:val="00484118"/>
    <w:rsid w:val="00486056"/>
    <w:rsid w:val="00486AB0"/>
    <w:rsid w:val="0049020E"/>
    <w:rsid w:val="00490B51"/>
    <w:rsid w:val="00490FD8"/>
    <w:rsid w:val="00491773"/>
    <w:rsid w:val="004921FB"/>
    <w:rsid w:val="00492AC8"/>
    <w:rsid w:val="004936D4"/>
    <w:rsid w:val="00496C56"/>
    <w:rsid w:val="0049734B"/>
    <w:rsid w:val="00497650"/>
    <w:rsid w:val="00497E86"/>
    <w:rsid w:val="004A054F"/>
    <w:rsid w:val="004A14FC"/>
    <w:rsid w:val="004A1B4E"/>
    <w:rsid w:val="004A2933"/>
    <w:rsid w:val="004A3194"/>
    <w:rsid w:val="004B306E"/>
    <w:rsid w:val="004B3674"/>
    <w:rsid w:val="004B45A2"/>
    <w:rsid w:val="004B67D6"/>
    <w:rsid w:val="004B6E99"/>
    <w:rsid w:val="004B6F89"/>
    <w:rsid w:val="004B7897"/>
    <w:rsid w:val="004B7C1A"/>
    <w:rsid w:val="004C1289"/>
    <w:rsid w:val="004C4880"/>
    <w:rsid w:val="004C52E0"/>
    <w:rsid w:val="004C6DFA"/>
    <w:rsid w:val="004D0CEC"/>
    <w:rsid w:val="004D1C81"/>
    <w:rsid w:val="004D1E01"/>
    <w:rsid w:val="004D1ECF"/>
    <w:rsid w:val="004D36D3"/>
    <w:rsid w:val="004D390C"/>
    <w:rsid w:val="004D452C"/>
    <w:rsid w:val="004D4931"/>
    <w:rsid w:val="004D4C22"/>
    <w:rsid w:val="004D5460"/>
    <w:rsid w:val="004D6D66"/>
    <w:rsid w:val="004E0961"/>
    <w:rsid w:val="004E10C1"/>
    <w:rsid w:val="004E162C"/>
    <w:rsid w:val="004E1719"/>
    <w:rsid w:val="004E4542"/>
    <w:rsid w:val="004E5381"/>
    <w:rsid w:val="004E7E1C"/>
    <w:rsid w:val="004F06BD"/>
    <w:rsid w:val="004F502C"/>
    <w:rsid w:val="004F56F0"/>
    <w:rsid w:val="004F7050"/>
    <w:rsid w:val="0050242D"/>
    <w:rsid w:val="005035DE"/>
    <w:rsid w:val="00503B0C"/>
    <w:rsid w:val="005059E0"/>
    <w:rsid w:val="005075E6"/>
    <w:rsid w:val="005102BC"/>
    <w:rsid w:val="00514178"/>
    <w:rsid w:val="0051431E"/>
    <w:rsid w:val="00516EDB"/>
    <w:rsid w:val="00516F3B"/>
    <w:rsid w:val="00517573"/>
    <w:rsid w:val="00520B3A"/>
    <w:rsid w:val="00520D82"/>
    <w:rsid w:val="00523C0F"/>
    <w:rsid w:val="0052607A"/>
    <w:rsid w:val="00526217"/>
    <w:rsid w:val="00526E2B"/>
    <w:rsid w:val="00527092"/>
    <w:rsid w:val="00530292"/>
    <w:rsid w:val="00530BBB"/>
    <w:rsid w:val="00530EFF"/>
    <w:rsid w:val="00530FD8"/>
    <w:rsid w:val="00531984"/>
    <w:rsid w:val="00535100"/>
    <w:rsid w:val="00535377"/>
    <w:rsid w:val="005358C6"/>
    <w:rsid w:val="0053600C"/>
    <w:rsid w:val="00536255"/>
    <w:rsid w:val="00536B6B"/>
    <w:rsid w:val="00537D62"/>
    <w:rsid w:val="005441B0"/>
    <w:rsid w:val="0054591E"/>
    <w:rsid w:val="0054672F"/>
    <w:rsid w:val="005471FE"/>
    <w:rsid w:val="0054782E"/>
    <w:rsid w:val="00550FF0"/>
    <w:rsid w:val="0055139E"/>
    <w:rsid w:val="005536C4"/>
    <w:rsid w:val="00553A42"/>
    <w:rsid w:val="00553D1C"/>
    <w:rsid w:val="00560BFE"/>
    <w:rsid w:val="005610E2"/>
    <w:rsid w:val="00563A45"/>
    <w:rsid w:val="00567900"/>
    <w:rsid w:val="00567D56"/>
    <w:rsid w:val="00574373"/>
    <w:rsid w:val="00575945"/>
    <w:rsid w:val="00576C0F"/>
    <w:rsid w:val="00580D63"/>
    <w:rsid w:val="005814BA"/>
    <w:rsid w:val="005819C4"/>
    <w:rsid w:val="00585453"/>
    <w:rsid w:val="00591E95"/>
    <w:rsid w:val="00592DAA"/>
    <w:rsid w:val="00595EE9"/>
    <w:rsid w:val="005960A4"/>
    <w:rsid w:val="005965EE"/>
    <w:rsid w:val="005A1472"/>
    <w:rsid w:val="005A1793"/>
    <w:rsid w:val="005A6093"/>
    <w:rsid w:val="005A72E3"/>
    <w:rsid w:val="005B1EE8"/>
    <w:rsid w:val="005B2B05"/>
    <w:rsid w:val="005B5E53"/>
    <w:rsid w:val="005C30E5"/>
    <w:rsid w:val="005C43CD"/>
    <w:rsid w:val="005C597B"/>
    <w:rsid w:val="005C5C29"/>
    <w:rsid w:val="005C5F91"/>
    <w:rsid w:val="005C6085"/>
    <w:rsid w:val="005C6FAE"/>
    <w:rsid w:val="005C7C8B"/>
    <w:rsid w:val="005D0077"/>
    <w:rsid w:val="005D258A"/>
    <w:rsid w:val="005D331B"/>
    <w:rsid w:val="005D3AC7"/>
    <w:rsid w:val="005D43FA"/>
    <w:rsid w:val="005D4824"/>
    <w:rsid w:val="005D5150"/>
    <w:rsid w:val="005D618F"/>
    <w:rsid w:val="005D65D0"/>
    <w:rsid w:val="005D6E73"/>
    <w:rsid w:val="005E1360"/>
    <w:rsid w:val="005E1C60"/>
    <w:rsid w:val="005E1DC6"/>
    <w:rsid w:val="005E34DF"/>
    <w:rsid w:val="005E5002"/>
    <w:rsid w:val="005E602A"/>
    <w:rsid w:val="005E70AB"/>
    <w:rsid w:val="005E70C0"/>
    <w:rsid w:val="005E7EFF"/>
    <w:rsid w:val="005F0F8A"/>
    <w:rsid w:val="005F166E"/>
    <w:rsid w:val="005F19D0"/>
    <w:rsid w:val="005F2166"/>
    <w:rsid w:val="00600C5C"/>
    <w:rsid w:val="00602850"/>
    <w:rsid w:val="006042B2"/>
    <w:rsid w:val="0060626F"/>
    <w:rsid w:val="00606E33"/>
    <w:rsid w:val="006072EB"/>
    <w:rsid w:val="00607C3A"/>
    <w:rsid w:val="00612B31"/>
    <w:rsid w:val="00613CCB"/>
    <w:rsid w:val="00613E7B"/>
    <w:rsid w:val="00614ADC"/>
    <w:rsid w:val="006157DB"/>
    <w:rsid w:val="00615CB6"/>
    <w:rsid w:val="00616C34"/>
    <w:rsid w:val="00617E9C"/>
    <w:rsid w:val="00620218"/>
    <w:rsid w:val="0062118D"/>
    <w:rsid w:val="006237E0"/>
    <w:rsid w:val="00624741"/>
    <w:rsid w:val="006318FE"/>
    <w:rsid w:val="00632832"/>
    <w:rsid w:val="00632B03"/>
    <w:rsid w:val="00634A47"/>
    <w:rsid w:val="006358CB"/>
    <w:rsid w:val="006363EA"/>
    <w:rsid w:val="0063784E"/>
    <w:rsid w:val="00637A65"/>
    <w:rsid w:val="00637E71"/>
    <w:rsid w:val="00640553"/>
    <w:rsid w:val="00640F49"/>
    <w:rsid w:val="00641CFC"/>
    <w:rsid w:val="00641EF8"/>
    <w:rsid w:val="00642E06"/>
    <w:rsid w:val="00650164"/>
    <w:rsid w:val="00650DB2"/>
    <w:rsid w:val="00651686"/>
    <w:rsid w:val="00653572"/>
    <w:rsid w:val="00653FB4"/>
    <w:rsid w:val="0065409C"/>
    <w:rsid w:val="00654CEB"/>
    <w:rsid w:val="00655277"/>
    <w:rsid w:val="006564F6"/>
    <w:rsid w:val="00660786"/>
    <w:rsid w:val="006613FE"/>
    <w:rsid w:val="00662AC6"/>
    <w:rsid w:val="00663082"/>
    <w:rsid w:val="00664A08"/>
    <w:rsid w:val="00664ABB"/>
    <w:rsid w:val="00665A7E"/>
    <w:rsid w:val="00665AC9"/>
    <w:rsid w:val="00665B1C"/>
    <w:rsid w:val="006667F1"/>
    <w:rsid w:val="00666EAE"/>
    <w:rsid w:val="00667C71"/>
    <w:rsid w:val="0067068E"/>
    <w:rsid w:val="00672AA4"/>
    <w:rsid w:val="00672BA0"/>
    <w:rsid w:val="006742C6"/>
    <w:rsid w:val="00674882"/>
    <w:rsid w:val="006778EB"/>
    <w:rsid w:val="00680252"/>
    <w:rsid w:val="006809E9"/>
    <w:rsid w:val="006830B9"/>
    <w:rsid w:val="00683B69"/>
    <w:rsid w:val="00683E86"/>
    <w:rsid w:val="00684B46"/>
    <w:rsid w:val="0068516C"/>
    <w:rsid w:val="00687FF6"/>
    <w:rsid w:val="0069055B"/>
    <w:rsid w:val="00691F16"/>
    <w:rsid w:val="0069402A"/>
    <w:rsid w:val="00694A57"/>
    <w:rsid w:val="006952C8"/>
    <w:rsid w:val="00696D96"/>
    <w:rsid w:val="00696F82"/>
    <w:rsid w:val="006971A4"/>
    <w:rsid w:val="006977A1"/>
    <w:rsid w:val="00697A34"/>
    <w:rsid w:val="006A0BED"/>
    <w:rsid w:val="006A2F99"/>
    <w:rsid w:val="006A341C"/>
    <w:rsid w:val="006A3A0B"/>
    <w:rsid w:val="006A5270"/>
    <w:rsid w:val="006A5595"/>
    <w:rsid w:val="006A699F"/>
    <w:rsid w:val="006B0773"/>
    <w:rsid w:val="006B0BBF"/>
    <w:rsid w:val="006B1A55"/>
    <w:rsid w:val="006B3897"/>
    <w:rsid w:val="006B43C3"/>
    <w:rsid w:val="006B4648"/>
    <w:rsid w:val="006B4FEE"/>
    <w:rsid w:val="006B5570"/>
    <w:rsid w:val="006B6055"/>
    <w:rsid w:val="006B6E1F"/>
    <w:rsid w:val="006B6F86"/>
    <w:rsid w:val="006C1D99"/>
    <w:rsid w:val="006C1F74"/>
    <w:rsid w:val="006C214A"/>
    <w:rsid w:val="006C4864"/>
    <w:rsid w:val="006C61A3"/>
    <w:rsid w:val="006C655C"/>
    <w:rsid w:val="006C6E7C"/>
    <w:rsid w:val="006C741D"/>
    <w:rsid w:val="006C7AD2"/>
    <w:rsid w:val="006D017F"/>
    <w:rsid w:val="006D0634"/>
    <w:rsid w:val="006D1488"/>
    <w:rsid w:val="006D1B18"/>
    <w:rsid w:val="006D3EF5"/>
    <w:rsid w:val="006D4190"/>
    <w:rsid w:val="006D4C2A"/>
    <w:rsid w:val="006D4F34"/>
    <w:rsid w:val="006D779F"/>
    <w:rsid w:val="006E2216"/>
    <w:rsid w:val="006E5B56"/>
    <w:rsid w:val="006E5F66"/>
    <w:rsid w:val="006E64BF"/>
    <w:rsid w:val="006E6DC8"/>
    <w:rsid w:val="006F1609"/>
    <w:rsid w:val="006F2EDF"/>
    <w:rsid w:val="006F421D"/>
    <w:rsid w:val="006F435E"/>
    <w:rsid w:val="006F642B"/>
    <w:rsid w:val="006F65D3"/>
    <w:rsid w:val="006F6B99"/>
    <w:rsid w:val="00700098"/>
    <w:rsid w:val="00700A7F"/>
    <w:rsid w:val="00702317"/>
    <w:rsid w:val="00702717"/>
    <w:rsid w:val="00702F24"/>
    <w:rsid w:val="0070330A"/>
    <w:rsid w:val="00703C59"/>
    <w:rsid w:val="007051F6"/>
    <w:rsid w:val="00706B3F"/>
    <w:rsid w:val="00710172"/>
    <w:rsid w:val="0071445A"/>
    <w:rsid w:val="007146CD"/>
    <w:rsid w:val="00714CBD"/>
    <w:rsid w:val="00714DD1"/>
    <w:rsid w:val="00715FDA"/>
    <w:rsid w:val="0071698A"/>
    <w:rsid w:val="00717E08"/>
    <w:rsid w:val="00720E39"/>
    <w:rsid w:val="0072222D"/>
    <w:rsid w:val="0072407B"/>
    <w:rsid w:val="00724BC6"/>
    <w:rsid w:val="00724E85"/>
    <w:rsid w:val="0072794A"/>
    <w:rsid w:val="00727A0D"/>
    <w:rsid w:val="00727E89"/>
    <w:rsid w:val="00727F54"/>
    <w:rsid w:val="00730FD9"/>
    <w:rsid w:val="00732221"/>
    <w:rsid w:val="007362F5"/>
    <w:rsid w:val="00737028"/>
    <w:rsid w:val="00737BF6"/>
    <w:rsid w:val="00740C54"/>
    <w:rsid w:val="007436D1"/>
    <w:rsid w:val="0074614C"/>
    <w:rsid w:val="007461EA"/>
    <w:rsid w:val="0075077C"/>
    <w:rsid w:val="00751141"/>
    <w:rsid w:val="007512DF"/>
    <w:rsid w:val="00753FC2"/>
    <w:rsid w:val="00754E65"/>
    <w:rsid w:val="00756E50"/>
    <w:rsid w:val="007578D1"/>
    <w:rsid w:val="007579B7"/>
    <w:rsid w:val="00761081"/>
    <w:rsid w:val="007640FE"/>
    <w:rsid w:val="00765074"/>
    <w:rsid w:val="00765265"/>
    <w:rsid w:val="00765BD6"/>
    <w:rsid w:val="00767571"/>
    <w:rsid w:val="00767B44"/>
    <w:rsid w:val="0077123E"/>
    <w:rsid w:val="00772461"/>
    <w:rsid w:val="00773715"/>
    <w:rsid w:val="00774E2E"/>
    <w:rsid w:val="00776023"/>
    <w:rsid w:val="00777917"/>
    <w:rsid w:val="00777CD1"/>
    <w:rsid w:val="007838B4"/>
    <w:rsid w:val="0078417B"/>
    <w:rsid w:val="0078689D"/>
    <w:rsid w:val="0078724E"/>
    <w:rsid w:val="007930F9"/>
    <w:rsid w:val="00793E7C"/>
    <w:rsid w:val="00794CC7"/>
    <w:rsid w:val="00794F7E"/>
    <w:rsid w:val="00795EF7"/>
    <w:rsid w:val="00795F72"/>
    <w:rsid w:val="00796952"/>
    <w:rsid w:val="007A2FE0"/>
    <w:rsid w:val="007A33AD"/>
    <w:rsid w:val="007A440B"/>
    <w:rsid w:val="007A4CE2"/>
    <w:rsid w:val="007A56D9"/>
    <w:rsid w:val="007A6625"/>
    <w:rsid w:val="007A7822"/>
    <w:rsid w:val="007B155A"/>
    <w:rsid w:val="007B2CDB"/>
    <w:rsid w:val="007B2EE4"/>
    <w:rsid w:val="007B353A"/>
    <w:rsid w:val="007B57C8"/>
    <w:rsid w:val="007B5F23"/>
    <w:rsid w:val="007B61A7"/>
    <w:rsid w:val="007B61F3"/>
    <w:rsid w:val="007B6A02"/>
    <w:rsid w:val="007B743F"/>
    <w:rsid w:val="007C0097"/>
    <w:rsid w:val="007C0221"/>
    <w:rsid w:val="007C1138"/>
    <w:rsid w:val="007C2534"/>
    <w:rsid w:val="007C2D64"/>
    <w:rsid w:val="007C39DC"/>
    <w:rsid w:val="007C3B1E"/>
    <w:rsid w:val="007D0A6A"/>
    <w:rsid w:val="007D2851"/>
    <w:rsid w:val="007D5074"/>
    <w:rsid w:val="007D6E1F"/>
    <w:rsid w:val="007D745A"/>
    <w:rsid w:val="007D7EDD"/>
    <w:rsid w:val="007E13DA"/>
    <w:rsid w:val="007E4B40"/>
    <w:rsid w:val="007E4C07"/>
    <w:rsid w:val="007F0115"/>
    <w:rsid w:val="007F0169"/>
    <w:rsid w:val="007F224C"/>
    <w:rsid w:val="007F289B"/>
    <w:rsid w:val="007F290C"/>
    <w:rsid w:val="007F4067"/>
    <w:rsid w:val="007F5750"/>
    <w:rsid w:val="007F6867"/>
    <w:rsid w:val="0080101B"/>
    <w:rsid w:val="0080155C"/>
    <w:rsid w:val="00802992"/>
    <w:rsid w:val="00803312"/>
    <w:rsid w:val="008035DE"/>
    <w:rsid w:val="00803B07"/>
    <w:rsid w:val="008075F5"/>
    <w:rsid w:val="00810E39"/>
    <w:rsid w:val="00811192"/>
    <w:rsid w:val="00811884"/>
    <w:rsid w:val="008154A9"/>
    <w:rsid w:val="008170AF"/>
    <w:rsid w:val="00820782"/>
    <w:rsid w:val="00820B42"/>
    <w:rsid w:val="00821A28"/>
    <w:rsid w:val="00823173"/>
    <w:rsid w:val="00823B6B"/>
    <w:rsid w:val="00823E04"/>
    <w:rsid w:val="008243B3"/>
    <w:rsid w:val="00826C7E"/>
    <w:rsid w:val="008271AF"/>
    <w:rsid w:val="008275C6"/>
    <w:rsid w:val="008302F9"/>
    <w:rsid w:val="008308C1"/>
    <w:rsid w:val="00830F67"/>
    <w:rsid w:val="00832043"/>
    <w:rsid w:val="00832C58"/>
    <w:rsid w:val="00832F0E"/>
    <w:rsid w:val="0083375C"/>
    <w:rsid w:val="0083434F"/>
    <w:rsid w:val="0083510A"/>
    <w:rsid w:val="008357D8"/>
    <w:rsid w:val="00835BF9"/>
    <w:rsid w:val="00837869"/>
    <w:rsid w:val="00840E10"/>
    <w:rsid w:val="00841C1A"/>
    <w:rsid w:val="00842494"/>
    <w:rsid w:val="00843AC2"/>
    <w:rsid w:val="0084748A"/>
    <w:rsid w:val="008476A7"/>
    <w:rsid w:val="008477D8"/>
    <w:rsid w:val="00847E34"/>
    <w:rsid w:val="0085039E"/>
    <w:rsid w:val="00852614"/>
    <w:rsid w:val="00854BDE"/>
    <w:rsid w:val="00856108"/>
    <w:rsid w:val="008567E1"/>
    <w:rsid w:val="0085688D"/>
    <w:rsid w:val="00856B08"/>
    <w:rsid w:val="00857EAC"/>
    <w:rsid w:val="00860C52"/>
    <w:rsid w:val="00862662"/>
    <w:rsid w:val="00867F9D"/>
    <w:rsid w:val="00870E5E"/>
    <w:rsid w:val="008721D4"/>
    <w:rsid w:val="00872932"/>
    <w:rsid w:val="008730ED"/>
    <w:rsid w:val="00875FCD"/>
    <w:rsid w:val="00876E10"/>
    <w:rsid w:val="00880C70"/>
    <w:rsid w:val="00880C9C"/>
    <w:rsid w:val="00880F4F"/>
    <w:rsid w:val="00881291"/>
    <w:rsid w:val="00881763"/>
    <w:rsid w:val="0088277D"/>
    <w:rsid w:val="00883C1B"/>
    <w:rsid w:val="0088431C"/>
    <w:rsid w:val="00884A18"/>
    <w:rsid w:val="00887016"/>
    <w:rsid w:val="00890093"/>
    <w:rsid w:val="00890810"/>
    <w:rsid w:val="00891A12"/>
    <w:rsid w:val="00891D07"/>
    <w:rsid w:val="00893D7E"/>
    <w:rsid w:val="00895060"/>
    <w:rsid w:val="00895484"/>
    <w:rsid w:val="00895A04"/>
    <w:rsid w:val="008979AE"/>
    <w:rsid w:val="008A101B"/>
    <w:rsid w:val="008A112F"/>
    <w:rsid w:val="008A1B3C"/>
    <w:rsid w:val="008A1E55"/>
    <w:rsid w:val="008A22E2"/>
    <w:rsid w:val="008A22F7"/>
    <w:rsid w:val="008A51E3"/>
    <w:rsid w:val="008A779D"/>
    <w:rsid w:val="008A7F3C"/>
    <w:rsid w:val="008B11ED"/>
    <w:rsid w:val="008B2BFB"/>
    <w:rsid w:val="008B3019"/>
    <w:rsid w:val="008B4571"/>
    <w:rsid w:val="008B45B4"/>
    <w:rsid w:val="008B4C8D"/>
    <w:rsid w:val="008B5683"/>
    <w:rsid w:val="008B5DC2"/>
    <w:rsid w:val="008B682D"/>
    <w:rsid w:val="008B776E"/>
    <w:rsid w:val="008C38B2"/>
    <w:rsid w:val="008C4E95"/>
    <w:rsid w:val="008C5341"/>
    <w:rsid w:val="008C65BC"/>
    <w:rsid w:val="008C6BA2"/>
    <w:rsid w:val="008C7A85"/>
    <w:rsid w:val="008D08D4"/>
    <w:rsid w:val="008D0DE2"/>
    <w:rsid w:val="008D2776"/>
    <w:rsid w:val="008D2F59"/>
    <w:rsid w:val="008D5951"/>
    <w:rsid w:val="008E0497"/>
    <w:rsid w:val="008E08FA"/>
    <w:rsid w:val="008E0EEE"/>
    <w:rsid w:val="008E169F"/>
    <w:rsid w:val="008E1D94"/>
    <w:rsid w:val="008E26AB"/>
    <w:rsid w:val="008E2A04"/>
    <w:rsid w:val="008E5D4F"/>
    <w:rsid w:val="008E6362"/>
    <w:rsid w:val="008F09F9"/>
    <w:rsid w:val="008F36F4"/>
    <w:rsid w:val="008F4201"/>
    <w:rsid w:val="008F4779"/>
    <w:rsid w:val="008F54AD"/>
    <w:rsid w:val="00900A30"/>
    <w:rsid w:val="00901787"/>
    <w:rsid w:val="00903246"/>
    <w:rsid w:val="00903497"/>
    <w:rsid w:val="00904081"/>
    <w:rsid w:val="00905228"/>
    <w:rsid w:val="00907149"/>
    <w:rsid w:val="00910C51"/>
    <w:rsid w:val="00911CAF"/>
    <w:rsid w:val="00912DB4"/>
    <w:rsid w:val="00913938"/>
    <w:rsid w:val="00913D80"/>
    <w:rsid w:val="00914D87"/>
    <w:rsid w:val="00916D6D"/>
    <w:rsid w:val="00922D44"/>
    <w:rsid w:val="00923A0A"/>
    <w:rsid w:val="00923F5C"/>
    <w:rsid w:val="00924D05"/>
    <w:rsid w:val="00925CE7"/>
    <w:rsid w:val="0092790C"/>
    <w:rsid w:val="0093014B"/>
    <w:rsid w:val="00933811"/>
    <w:rsid w:val="00933E2F"/>
    <w:rsid w:val="00934608"/>
    <w:rsid w:val="00934967"/>
    <w:rsid w:val="009352EC"/>
    <w:rsid w:val="00936C67"/>
    <w:rsid w:val="00937F1F"/>
    <w:rsid w:val="0094074C"/>
    <w:rsid w:val="00940829"/>
    <w:rsid w:val="0094188E"/>
    <w:rsid w:val="00941A55"/>
    <w:rsid w:val="00942FA7"/>
    <w:rsid w:val="009434AF"/>
    <w:rsid w:val="0094489C"/>
    <w:rsid w:val="00945192"/>
    <w:rsid w:val="0094587D"/>
    <w:rsid w:val="009462DF"/>
    <w:rsid w:val="009466BB"/>
    <w:rsid w:val="009466C3"/>
    <w:rsid w:val="00946925"/>
    <w:rsid w:val="00951476"/>
    <w:rsid w:val="0095252A"/>
    <w:rsid w:val="009538BA"/>
    <w:rsid w:val="00955ECE"/>
    <w:rsid w:val="009566AE"/>
    <w:rsid w:val="009567F8"/>
    <w:rsid w:val="00960AC1"/>
    <w:rsid w:val="00961375"/>
    <w:rsid w:val="00964EB7"/>
    <w:rsid w:val="00965417"/>
    <w:rsid w:val="00967075"/>
    <w:rsid w:val="009714B4"/>
    <w:rsid w:val="00974607"/>
    <w:rsid w:val="00975397"/>
    <w:rsid w:val="00975433"/>
    <w:rsid w:val="009768B0"/>
    <w:rsid w:val="0097734B"/>
    <w:rsid w:val="0098078C"/>
    <w:rsid w:val="00981963"/>
    <w:rsid w:val="009827B2"/>
    <w:rsid w:val="0098406A"/>
    <w:rsid w:val="00984B97"/>
    <w:rsid w:val="00986FFD"/>
    <w:rsid w:val="0098786C"/>
    <w:rsid w:val="0098792B"/>
    <w:rsid w:val="009901D6"/>
    <w:rsid w:val="009902A2"/>
    <w:rsid w:val="009937A0"/>
    <w:rsid w:val="00993C15"/>
    <w:rsid w:val="00994DF1"/>
    <w:rsid w:val="00997AAE"/>
    <w:rsid w:val="009A0F02"/>
    <w:rsid w:val="009A373A"/>
    <w:rsid w:val="009A404E"/>
    <w:rsid w:val="009A7414"/>
    <w:rsid w:val="009A7FDB"/>
    <w:rsid w:val="009B0006"/>
    <w:rsid w:val="009B2998"/>
    <w:rsid w:val="009B2AA7"/>
    <w:rsid w:val="009B41D3"/>
    <w:rsid w:val="009B45F5"/>
    <w:rsid w:val="009B58CE"/>
    <w:rsid w:val="009B724E"/>
    <w:rsid w:val="009C0631"/>
    <w:rsid w:val="009C2C39"/>
    <w:rsid w:val="009C4637"/>
    <w:rsid w:val="009C52E5"/>
    <w:rsid w:val="009C78A3"/>
    <w:rsid w:val="009D1973"/>
    <w:rsid w:val="009D2D2E"/>
    <w:rsid w:val="009D3727"/>
    <w:rsid w:val="009D60A9"/>
    <w:rsid w:val="009D71B8"/>
    <w:rsid w:val="009E013F"/>
    <w:rsid w:val="009E2637"/>
    <w:rsid w:val="009E344C"/>
    <w:rsid w:val="009E3DC5"/>
    <w:rsid w:val="009E4170"/>
    <w:rsid w:val="009E62A9"/>
    <w:rsid w:val="009E6C13"/>
    <w:rsid w:val="009E6E1B"/>
    <w:rsid w:val="009F0926"/>
    <w:rsid w:val="009F2BCA"/>
    <w:rsid w:val="009F5248"/>
    <w:rsid w:val="009F52C0"/>
    <w:rsid w:val="009F5CF1"/>
    <w:rsid w:val="009F63B1"/>
    <w:rsid w:val="009F6787"/>
    <w:rsid w:val="009F6EE1"/>
    <w:rsid w:val="00A03019"/>
    <w:rsid w:val="00A042EA"/>
    <w:rsid w:val="00A060D1"/>
    <w:rsid w:val="00A07B4B"/>
    <w:rsid w:val="00A07FAC"/>
    <w:rsid w:val="00A100B8"/>
    <w:rsid w:val="00A10110"/>
    <w:rsid w:val="00A1128E"/>
    <w:rsid w:val="00A11422"/>
    <w:rsid w:val="00A12504"/>
    <w:rsid w:val="00A13743"/>
    <w:rsid w:val="00A16CF0"/>
    <w:rsid w:val="00A16FF3"/>
    <w:rsid w:val="00A173F8"/>
    <w:rsid w:val="00A17EF6"/>
    <w:rsid w:val="00A2071B"/>
    <w:rsid w:val="00A22E92"/>
    <w:rsid w:val="00A23BBB"/>
    <w:rsid w:val="00A23F1A"/>
    <w:rsid w:val="00A24F87"/>
    <w:rsid w:val="00A27D90"/>
    <w:rsid w:val="00A27E2A"/>
    <w:rsid w:val="00A307F8"/>
    <w:rsid w:val="00A30C04"/>
    <w:rsid w:val="00A32877"/>
    <w:rsid w:val="00A337F1"/>
    <w:rsid w:val="00A33D2C"/>
    <w:rsid w:val="00A35352"/>
    <w:rsid w:val="00A35DCD"/>
    <w:rsid w:val="00A368BC"/>
    <w:rsid w:val="00A44B2B"/>
    <w:rsid w:val="00A44FF9"/>
    <w:rsid w:val="00A458A7"/>
    <w:rsid w:val="00A46495"/>
    <w:rsid w:val="00A47133"/>
    <w:rsid w:val="00A51C61"/>
    <w:rsid w:val="00A54EBF"/>
    <w:rsid w:val="00A54FCB"/>
    <w:rsid w:val="00A56560"/>
    <w:rsid w:val="00A56945"/>
    <w:rsid w:val="00A57516"/>
    <w:rsid w:val="00A575EF"/>
    <w:rsid w:val="00A625A6"/>
    <w:rsid w:val="00A625E4"/>
    <w:rsid w:val="00A62D8C"/>
    <w:rsid w:val="00A62FBC"/>
    <w:rsid w:val="00A63785"/>
    <w:rsid w:val="00A704C4"/>
    <w:rsid w:val="00A7278B"/>
    <w:rsid w:val="00A74257"/>
    <w:rsid w:val="00A750E7"/>
    <w:rsid w:val="00A75930"/>
    <w:rsid w:val="00A76391"/>
    <w:rsid w:val="00A767CB"/>
    <w:rsid w:val="00A775AE"/>
    <w:rsid w:val="00A77AFE"/>
    <w:rsid w:val="00A804DB"/>
    <w:rsid w:val="00A826BF"/>
    <w:rsid w:val="00A82869"/>
    <w:rsid w:val="00A84B13"/>
    <w:rsid w:val="00A8632A"/>
    <w:rsid w:val="00A92B72"/>
    <w:rsid w:val="00A9306B"/>
    <w:rsid w:val="00A930D0"/>
    <w:rsid w:val="00A93B03"/>
    <w:rsid w:val="00A96BE2"/>
    <w:rsid w:val="00A97FA2"/>
    <w:rsid w:val="00AA07C3"/>
    <w:rsid w:val="00AA13AB"/>
    <w:rsid w:val="00AA2B28"/>
    <w:rsid w:val="00AA3A65"/>
    <w:rsid w:val="00AA5591"/>
    <w:rsid w:val="00AA5BEC"/>
    <w:rsid w:val="00AA5DC7"/>
    <w:rsid w:val="00AB029D"/>
    <w:rsid w:val="00AB0444"/>
    <w:rsid w:val="00AB0BD8"/>
    <w:rsid w:val="00AB5338"/>
    <w:rsid w:val="00AB690F"/>
    <w:rsid w:val="00AB6E80"/>
    <w:rsid w:val="00AB7AFD"/>
    <w:rsid w:val="00AC0DC2"/>
    <w:rsid w:val="00AC1DF3"/>
    <w:rsid w:val="00AC3D85"/>
    <w:rsid w:val="00AC52F2"/>
    <w:rsid w:val="00AD0880"/>
    <w:rsid w:val="00AD1286"/>
    <w:rsid w:val="00AD46D4"/>
    <w:rsid w:val="00AD58ED"/>
    <w:rsid w:val="00AD637F"/>
    <w:rsid w:val="00AD6ACE"/>
    <w:rsid w:val="00AD7B3B"/>
    <w:rsid w:val="00AD7F1D"/>
    <w:rsid w:val="00AE0DEE"/>
    <w:rsid w:val="00AE1480"/>
    <w:rsid w:val="00AE1602"/>
    <w:rsid w:val="00AE17D3"/>
    <w:rsid w:val="00AE26D6"/>
    <w:rsid w:val="00AE2B8D"/>
    <w:rsid w:val="00AE38B5"/>
    <w:rsid w:val="00AE3ED5"/>
    <w:rsid w:val="00AE4330"/>
    <w:rsid w:val="00AE4702"/>
    <w:rsid w:val="00AE5B50"/>
    <w:rsid w:val="00AE6212"/>
    <w:rsid w:val="00AE6AE3"/>
    <w:rsid w:val="00AF0CD1"/>
    <w:rsid w:val="00AF1ADE"/>
    <w:rsid w:val="00AF1B4E"/>
    <w:rsid w:val="00AF3023"/>
    <w:rsid w:val="00AF366C"/>
    <w:rsid w:val="00AF4A59"/>
    <w:rsid w:val="00AF5872"/>
    <w:rsid w:val="00AF7D92"/>
    <w:rsid w:val="00B0027C"/>
    <w:rsid w:val="00B037FC"/>
    <w:rsid w:val="00B044B1"/>
    <w:rsid w:val="00B05070"/>
    <w:rsid w:val="00B05B97"/>
    <w:rsid w:val="00B068D3"/>
    <w:rsid w:val="00B06D4E"/>
    <w:rsid w:val="00B07C88"/>
    <w:rsid w:val="00B07E3C"/>
    <w:rsid w:val="00B1085F"/>
    <w:rsid w:val="00B10C5A"/>
    <w:rsid w:val="00B1145F"/>
    <w:rsid w:val="00B119D8"/>
    <w:rsid w:val="00B1292E"/>
    <w:rsid w:val="00B13200"/>
    <w:rsid w:val="00B13ABC"/>
    <w:rsid w:val="00B1401D"/>
    <w:rsid w:val="00B1604D"/>
    <w:rsid w:val="00B21FE0"/>
    <w:rsid w:val="00B261EA"/>
    <w:rsid w:val="00B30344"/>
    <w:rsid w:val="00B30B60"/>
    <w:rsid w:val="00B36582"/>
    <w:rsid w:val="00B366E0"/>
    <w:rsid w:val="00B37392"/>
    <w:rsid w:val="00B404D4"/>
    <w:rsid w:val="00B40E61"/>
    <w:rsid w:val="00B41F27"/>
    <w:rsid w:val="00B4248F"/>
    <w:rsid w:val="00B47733"/>
    <w:rsid w:val="00B47DB9"/>
    <w:rsid w:val="00B50F7A"/>
    <w:rsid w:val="00B5134A"/>
    <w:rsid w:val="00B515FC"/>
    <w:rsid w:val="00B52199"/>
    <w:rsid w:val="00B5338A"/>
    <w:rsid w:val="00B5362D"/>
    <w:rsid w:val="00B54F2B"/>
    <w:rsid w:val="00B5557E"/>
    <w:rsid w:val="00B57300"/>
    <w:rsid w:val="00B57AE0"/>
    <w:rsid w:val="00B57BC7"/>
    <w:rsid w:val="00B60CA6"/>
    <w:rsid w:val="00B615B3"/>
    <w:rsid w:val="00B61E9A"/>
    <w:rsid w:val="00B62507"/>
    <w:rsid w:val="00B63458"/>
    <w:rsid w:val="00B638FC"/>
    <w:rsid w:val="00B6406A"/>
    <w:rsid w:val="00B652CF"/>
    <w:rsid w:val="00B65653"/>
    <w:rsid w:val="00B65F86"/>
    <w:rsid w:val="00B677C4"/>
    <w:rsid w:val="00B70C9F"/>
    <w:rsid w:val="00B711AB"/>
    <w:rsid w:val="00B713AD"/>
    <w:rsid w:val="00B7349A"/>
    <w:rsid w:val="00B740E3"/>
    <w:rsid w:val="00B741F7"/>
    <w:rsid w:val="00B776F9"/>
    <w:rsid w:val="00B77B39"/>
    <w:rsid w:val="00B81268"/>
    <w:rsid w:val="00B826AD"/>
    <w:rsid w:val="00B8373D"/>
    <w:rsid w:val="00B857CC"/>
    <w:rsid w:val="00B86FE8"/>
    <w:rsid w:val="00B90D7A"/>
    <w:rsid w:val="00B9340F"/>
    <w:rsid w:val="00B93950"/>
    <w:rsid w:val="00B93D5E"/>
    <w:rsid w:val="00B95120"/>
    <w:rsid w:val="00B97B81"/>
    <w:rsid w:val="00BA2FCB"/>
    <w:rsid w:val="00BA41E4"/>
    <w:rsid w:val="00BA5339"/>
    <w:rsid w:val="00BA7D68"/>
    <w:rsid w:val="00BA7FA4"/>
    <w:rsid w:val="00BB119B"/>
    <w:rsid w:val="00BB2A2E"/>
    <w:rsid w:val="00BB2A83"/>
    <w:rsid w:val="00BB2E1C"/>
    <w:rsid w:val="00BB3167"/>
    <w:rsid w:val="00BB34E7"/>
    <w:rsid w:val="00BB3ED2"/>
    <w:rsid w:val="00BB7DF1"/>
    <w:rsid w:val="00BC0CAF"/>
    <w:rsid w:val="00BC18B1"/>
    <w:rsid w:val="00BC408E"/>
    <w:rsid w:val="00BD084C"/>
    <w:rsid w:val="00BD0CCA"/>
    <w:rsid w:val="00BD1504"/>
    <w:rsid w:val="00BD1C29"/>
    <w:rsid w:val="00BD2772"/>
    <w:rsid w:val="00BD2E7B"/>
    <w:rsid w:val="00BD374B"/>
    <w:rsid w:val="00BD3C3D"/>
    <w:rsid w:val="00BD3D2C"/>
    <w:rsid w:val="00BD4536"/>
    <w:rsid w:val="00BD4F12"/>
    <w:rsid w:val="00BD5622"/>
    <w:rsid w:val="00BD571D"/>
    <w:rsid w:val="00BD7500"/>
    <w:rsid w:val="00BD7B75"/>
    <w:rsid w:val="00BE41C7"/>
    <w:rsid w:val="00BE52C0"/>
    <w:rsid w:val="00BF0976"/>
    <w:rsid w:val="00BF1051"/>
    <w:rsid w:val="00BF159A"/>
    <w:rsid w:val="00BF1E5D"/>
    <w:rsid w:val="00BF2FA8"/>
    <w:rsid w:val="00BF303C"/>
    <w:rsid w:val="00BF3EAB"/>
    <w:rsid w:val="00BF3F91"/>
    <w:rsid w:val="00BF4491"/>
    <w:rsid w:val="00BF5B77"/>
    <w:rsid w:val="00BF6537"/>
    <w:rsid w:val="00BF69FD"/>
    <w:rsid w:val="00C032AB"/>
    <w:rsid w:val="00C038E7"/>
    <w:rsid w:val="00C03B03"/>
    <w:rsid w:val="00C0469F"/>
    <w:rsid w:val="00C05E75"/>
    <w:rsid w:val="00C0630D"/>
    <w:rsid w:val="00C06316"/>
    <w:rsid w:val="00C06D9D"/>
    <w:rsid w:val="00C11039"/>
    <w:rsid w:val="00C11CA2"/>
    <w:rsid w:val="00C121EC"/>
    <w:rsid w:val="00C137F5"/>
    <w:rsid w:val="00C13B48"/>
    <w:rsid w:val="00C146AB"/>
    <w:rsid w:val="00C153B0"/>
    <w:rsid w:val="00C15DE5"/>
    <w:rsid w:val="00C15E0D"/>
    <w:rsid w:val="00C15EF3"/>
    <w:rsid w:val="00C16B0A"/>
    <w:rsid w:val="00C2150F"/>
    <w:rsid w:val="00C21C8C"/>
    <w:rsid w:val="00C228E9"/>
    <w:rsid w:val="00C24424"/>
    <w:rsid w:val="00C31377"/>
    <w:rsid w:val="00C329E9"/>
    <w:rsid w:val="00C32D24"/>
    <w:rsid w:val="00C34C4F"/>
    <w:rsid w:val="00C35291"/>
    <w:rsid w:val="00C3572B"/>
    <w:rsid w:val="00C4583B"/>
    <w:rsid w:val="00C4691B"/>
    <w:rsid w:val="00C47133"/>
    <w:rsid w:val="00C51671"/>
    <w:rsid w:val="00C51B1F"/>
    <w:rsid w:val="00C529B5"/>
    <w:rsid w:val="00C52EFD"/>
    <w:rsid w:val="00C53D4B"/>
    <w:rsid w:val="00C54290"/>
    <w:rsid w:val="00C54558"/>
    <w:rsid w:val="00C57A5E"/>
    <w:rsid w:val="00C60E79"/>
    <w:rsid w:val="00C61B09"/>
    <w:rsid w:val="00C623DC"/>
    <w:rsid w:val="00C63C3C"/>
    <w:rsid w:val="00C65061"/>
    <w:rsid w:val="00C657CF"/>
    <w:rsid w:val="00C6691B"/>
    <w:rsid w:val="00C671C0"/>
    <w:rsid w:val="00C674D0"/>
    <w:rsid w:val="00C71EC2"/>
    <w:rsid w:val="00C71FFB"/>
    <w:rsid w:val="00C72F04"/>
    <w:rsid w:val="00C75575"/>
    <w:rsid w:val="00C75B17"/>
    <w:rsid w:val="00C76111"/>
    <w:rsid w:val="00C801AC"/>
    <w:rsid w:val="00C820CA"/>
    <w:rsid w:val="00C82107"/>
    <w:rsid w:val="00C8226A"/>
    <w:rsid w:val="00C832EE"/>
    <w:rsid w:val="00C83C4D"/>
    <w:rsid w:val="00C841FD"/>
    <w:rsid w:val="00C84474"/>
    <w:rsid w:val="00C85517"/>
    <w:rsid w:val="00C85615"/>
    <w:rsid w:val="00C85EF9"/>
    <w:rsid w:val="00C8689C"/>
    <w:rsid w:val="00C936FE"/>
    <w:rsid w:val="00C947C6"/>
    <w:rsid w:val="00C961A1"/>
    <w:rsid w:val="00C9670D"/>
    <w:rsid w:val="00C974BC"/>
    <w:rsid w:val="00C97F1C"/>
    <w:rsid w:val="00CA1990"/>
    <w:rsid w:val="00CA1E73"/>
    <w:rsid w:val="00CA2948"/>
    <w:rsid w:val="00CA48EB"/>
    <w:rsid w:val="00CA5781"/>
    <w:rsid w:val="00CA60C5"/>
    <w:rsid w:val="00CA6239"/>
    <w:rsid w:val="00CA6626"/>
    <w:rsid w:val="00CA72A8"/>
    <w:rsid w:val="00CA7ABC"/>
    <w:rsid w:val="00CB04D1"/>
    <w:rsid w:val="00CB0B06"/>
    <w:rsid w:val="00CB0D45"/>
    <w:rsid w:val="00CB24FA"/>
    <w:rsid w:val="00CB2F19"/>
    <w:rsid w:val="00CB387B"/>
    <w:rsid w:val="00CB3D10"/>
    <w:rsid w:val="00CB4DEF"/>
    <w:rsid w:val="00CB6C06"/>
    <w:rsid w:val="00CB778E"/>
    <w:rsid w:val="00CB782E"/>
    <w:rsid w:val="00CC1459"/>
    <w:rsid w:val="00CC2014"/>
    <w:rsid w:val="00CC3517"/>
    <w:rsid w:val="00CC3577"/>
    <w:rsid w:val="00CC3C34"/>
    <w:rsid w:val="00CC5311"/>
    <w:rsid w:val="00CC6D08"/>
    <w:rsid w:val="00CC789A"/>
    <w:rsid w:val="00CC7977"/>
    <w:rsid w:val="00CD0F97"/>
    <w:rsid w:val="00CD1838"/>
    <w:rsid w:val="00CD2ED2"/>
    <w:rsid w:val="00CD33D9"/>
    <w:rsid w:val="00CD343A"/>
    <w:rsid w:val="00CD52C3"/>
    <w:rsid w:val="00CD593A"/>
    <w:rsid w:val="00CD5DA7"/>
    <w:rsid w:val="00CE0420"/>
    <w:rsid w:val="00CE5486"/>
    <w:rsid w:val="00CE5E64"/>
    <w:rsid w:val="00CE5FFB"/>
    <w:rsid w:val="00CE6548"/>
    <w:rsid w:val="00CF2811"/>
    <w:rsid w:val="00CF7A0A"/>
    <w:rsid w:val="00D06513"/>
    <w:rsid w:val="00D10905"/>
    <w:rsid w:val="00D11F24"/>
    <w:rsid w:val="00D15D17"/>
    <w:rsid w:val="00D16207"/>
    <w:rsid w:val="00D16C36"/>
    <w:rsid w:val="00D2074F"/>
    <w:rsid w:val="00D218E0"/>
    <w:rsid w:val="00D225C2"/>
    <w:rsid w:val="00D227C3"/>
    <w:rsid w:val="00D23563"/>
    <w:rsid w:val="00D264FE"/>
    <w:rsid w:val="00D2670F"/>
    <w:rsid w:val="00D26EF0"/>
    <w:rsid w:val="00D30604"/>
    <w:rsid w:val="00D3060F"/>
    <w:rsid w:val="00D30972"/>
    <w:rsid w:val="00D333CF"/>
    <w:rsid w:val="00D33C60"/>
    <w:rsid w:val="00D34B24"/>
    <w:rsid w:val="00D34CF7"/>
    <w:rsid w:val="00D34F50"/>
    <w:rsid w:val="00D34F6C"/>
    <w:rsid w:val="00D35291"/>
    <w:rsid w:val="00D359C2"/>
    <w:rsid w:val="00D3672C"/>
    <w:rsid w:val="00D37FE9"/>
    <w:rsid w:val="00D4063C"/>
    <w:rsid w:val="00D41172"/>
    <w:rsid w:val="00D41F1A"/>
    <w:rsid w:val="00D50C52"/>
    <w:rsid w:val="00D50F30"/>
    <w:rsid w:val="00D519CF"/>
    <w:rsid w:val="00D51A19"/>
    <w:rsid w:val="00D545C8"/>
    <w:rsid w:val="00D5561D"/>
    <w:rsid w:val="00D55812"/>
    <w:rsid w:val="00D563A4"/>
    <w:rsid w:val="00D60261"/>
    <w:rsid w:val="00D609DD"/>
    <w:rsid w:val="00D61F2C"/>
    <w:rsid w:val="00D62189"/>
    <w:rsid w:val="00D6221A"/>
    <w:rsid w:val="00D62B7E"/>
    <w:rsid w:val="00D62E96"/>
    <w:rsid w:val="00D6310D"/>
    <w:rsid w:val="00D65DEB"/>
    <w:rsid w:val="00D6666D"/>
    <w:rsid w:val="00D66A8B"/>
    <w:rsid w:val="00D66C2D"/>
    <w:rsid w:val="00D7242B"/>
    <w:rsid w:val="00D72F18"/>
    <w:rsid w:val="00D72FA1"/>
    <w:rsid w:val="00D7468D"/>
    <w:rsid w:val="00D7536B"/>
    <w:rsid w:val="00D761B5"/>
    <w:rsid w:val="00D8089C"/>
    <w:rsid w:val="00D8142A"/>
    <w:rsid w:val="00D853F0"/>
    <w:rsid w:val="00D859C0"/>
    <w:rsid w:val="00D8615E"/>
    <w:rsid w:val="00D86A65"/>
    <w:rsid w:val="00D870E6"/>
    <w:rsid w:val="00D87DEA"/>
    <w:rsid w:val="00D90434"/>
    <w:rsid w:val="00D9136A"/>
    <w:rsid w:val="00D91C9D"/>
    <w:rsid w:val="00D9276E"/>
    <w:rsid w:val="00D96686"/>
    <w:rsid w:val="00D97C0B"/>
    <w:rsid w:val="00DA012F"/>
    <w:rsid w:val="00DA1620"/>
    <w:rsid w:val="00DA1789"/>
    <w:rsid w:val="00DA215B"/>
    <w:rsid w:val="00DA29E9"/>
    <w:rsid w:val="00DA2C12"/>
    <w:rsid w:val="00DA7337"/>
    <w:rsid w:val="00DB027F"/>
    <w:rsid w:val="00DB0DA6"/>
    <w:rsid w:val="00DB1F1C"/>
    <w:rsid w:val="00DB1FDF"/>
    <w:rsid w:val="00DB2015"/>
    <w:rsid w:val="00DB4670"/>
    <w:rsid w:val="00DB619C"/>
    <w:rsid w:val="00DB6461"/>
    <w:rsid w:val="00DB6C4D"/>
    <w:rsid w:val="00DB765D"/>
    <w:rsid w:val="00DB7CEF"/>
    <w:rsid w:val="00DB7FA4"/>
    <w:rsid w:val="00DC5588"/>
    <w:rsid w:val="00DC5F5C"/>
    <w:rsid w:val="00DC6450"/>
    <w:rsid w:val="00DC7F0E"/>
    <w:rsid w:val="00DD1D96"/>
    <w:rsid w:val="00DD38B9"/>
    <w:rsid w:val="00DD4732"/>
    <w:rsid w:val="00DD50AE"/>
    <w:rsid w:val="00DD59C8"/>
    <w:rsid w:val="00DD5F8E"/>
    <w:rsid w:val="00DE0ED2"/>
    <w:rsid w:val="00DE2BE9"/>
    <w:rsid w:val="00DE3231"/>
    <w:rsid w:val="00DE3413"/>
    <w:rsid w:val="00DE38F6"/>
    <w:rsid w:val="00DE40E1"/>
    <w:rsid w:val="00DE40E9"/>
    <w:rsid w:val="00DE61AD"/>
    <w:rsid w:val="00DE6A01"/>
    <w:rsid w:val="00DE6CC4"/>
    <w:rsid w:val="00DF01B8"/>
    <w:rsid w:val="00DF0841"/>
    <w:rsid w:val="00DF0A34"/>
    <w:rsid w:val="00DF146B"/>
    <w:rsid w:val="00DF388E"/>
    <w:rsid w:val="00DF4DA9"/>
    <w:rsid w:val="00DF586E"/>
    <w:rsid w:val="00DF598E"/>
    <w:rsid w:val="00DF6479"/>
    <w:rsid w:val="00DF75A8"/>
    <w:rsid w:val="00E0029F"/>
    <w:rsid w:val="00E01184"/>
    <w:rsid w:val="00E05D46"/>
    <w:rsid w:val="00E05D79"/>
    <w:rsid w:val="00E0712D"/>
    <w:rsid w:val="00E07FAB"/>
    <w:rsid w:val="00E11B78"/>
    <w:rsid w:val="00E13B37"/>
    <w:rsid w:val="00E155C1"/>
    <w:rsid w:val="00E16B68"/>
    <w:rsid w:val="00E1794B"/>
    <w:rsid w:val="00E21529"/>
    <w:rsid w:val="00E226DC"/>
    <w:rsid w:val="00E22E28"/>
    <w:rsid w:val="00E25175"/>
    <w:rsid w:val="00E324E9"/>
    <w:rsid w:val="00E34BC8"/>
    <w:rsid w:val="00E359EB"/>
    <w:rsid w:val="00E36F43"/>
    <w:rsid w:val="00E400F2"/>
    <w:rsid w:val="00E41A6D"/>
    <w:rsid w:val="00E42573"/>
    <w:rsid w:val="00E43A88"/>
    <w:rsid w:val="00E44786"/>
    <w:rsid w:val="00E447A7"/>
    <w:rsid w:val="00E46509"/>
    <w:rsid w:val="00E47DB0"/>
    <w:rsid w:val="00E5012E"/>
    <w:rsid w:val="00E565B2"/>
    <w:rsid w:val="00E57B6E"/>
    <w:rsid w:val="00E57F58"/>
    <w:rsid w:val="00E609CD"/>
    <w:rsid w:val="00E60ABA"/>
    <w:rsid w:val="00E61A04"/>
    <w:rsid w:val="00E61C92"/>
    <w:rsid w:val="00E633CC"/>
    <w:rsid w:val="00E63503"/>
    <w:rsid w:val="00E6603B"/>
    <w:rsid w:val="00E67317"/>
    <w:rsid w:val="00E678AC"/>
    <w:rsid w:val="00E67B7D"/>
    <w:rsid w:val="00E70CE1"/>
    <w:rsid w:val="00E71BDE"/>
    <w:rsid w:val="00E73AF5"/>
    <w:rsid w:val="00E75306"/>
    <w:rsid w:val="00E758C6"/>
    <w:rsid w:val="00E76766"/>
    <w:rsid w:val="00E76861"/>
    <w:rsid w:val="00E80192"/>
    <w:rsid w:val="00E80A09"/>
    <w:rsid w:val="00E820F9"/>
    <w:rsid w:val="00E8382C"/>
    <w:rsid w:val="00E86267"/>
    <w:rsid w:val="00E866A8"/>
    <w:rsid w:val="00E86982"/>
    <w:rsid w:val="00E8735F"/>
    <w:rsid w:val="00E9015C"/>
    <w:rsid w:val="00E9122A"/>
    <w:rsid w:val="00E91A52"/>
    <w:rsid w:val="00E91D96"/>
    <w:rsid w:val="00E93A31"/>
    <w:rsid w:val="00E9442F"/>
    <w:rsid w:val="00E94497"/>
    <w:rsid w:val="00E945A6"/>
    <w:rsid w:val="00E954D7"/>
    <w:rsid w:val="00E95684"/>
    <w:rsid w:val="00E95A5F"/>
    <w:rsid w:val="00E968CC"/>
    <w:rsid w:val="00E96A8E"/>
    <w:rsid w:val="00E97260"/>
    <w:rsid w:val="00E97FD3"/>
    <w:rsid w:val="00EA4286"/>
    <w:rsid w:val="00EA5518"/>
    <w:rsid w:val="00EA5D7D"/>
    <w:rsid w:val="00EB235A"/>
    <w:rsid w:val="00EB278B"/>
    <w:rsid w:val="00EB2EE5"/>
    <w:rsid w:val="00EB300B"/>
    <w:rsid w:val="00EB3A93"/>
    <w:rsid w:val="00EB3E73"/>
    <w:rsid w:val="00EB45A9"/>
    <w:rsid w:val="00EB4B9C"/>
    <w:rsid w:val="00EB7064"/>
    <w:rsid w:val="00EB73C0"/>
    <w:rsid w:val="00EC1D13"/>
    <w:rsid w:val="00EC287B"/>
    <w:rsid w:val="00EC2AFA"/>
    <w:rsid w:val="00EC2BCE"/>
    <w:rsid w:val="00EC3CCD"/>
    <w:rsid w:val="00EC556E"/>
    <w:rsid w:val="00EC6B6F"/>
    <w:rsid w:val="00ED14A1"/>
    <w:rsid w:val="00ED1706"/>
    <w:rsid w:val="00ED2DB4"/>
    <w:rsid w:val="00ED32E3"/>
    <w:rsid w:val="00ED37B6"/>
    <w:rsid w:val="00ED4BE5"/>
    <w:rsid w:val="00ED5AC2"/>
    <w:rsid w:val="00ED5C93"/>
    <w:rsid w:val="00ED5D9F"/>
    <w:rsid w:val="00ED6F95"/>
    <w:rsid w:val="00ED7423"/>
    <w:rsid w:val="00EE0D29"/>
    <w:rsid w:val="00EE13ED"/>
    <w:rsid w:val="00EE1A7D"/>
    <w:rsid w:val="00EE3D6C"/>
    <w:rsid w:val="00EE459D"/>
    <w:rsid w:val="00EE568D"/>
    <w:rsid w:val="00EE6BF8"/>
    <w:rsid w:val="00EE72F4"/>
    <w:rsid w:val="00EE7826"/>
    <w:rsid w:val="00EF0B10"/>
    <w:rsid w:val="00EF1707"/>
    <w:rsid w:val="00EF5168"/>
    <w:rsid w:val="00EF7FFC"/>
    <w:rsid w:val="00F024EE"/>
    <w:rsid w:val="00F03477"/>
    <w:rsid w:val="00F048C5"/>
    <w:rsid w:val="00F04D9D"/>
    <w:rsid w:val="00F05EDA"/>
    <w:rsid w:val="00F071F2"/>
    <w:rsid w:val="00F118A0"/>
    <w:rsid w:val="00F11A4B"/>
    <w:rsid w:val="00F12AD7"/>
    <w:rsid w:val="00F1546E"/>
    <w:rsid w:val="00F15573"/>
    <w:rsid w:val="00F1580F"/>
    <w:rsid w:val="00F175B4"/>
    <w:rsid w:val="00F207D5"/>
    <w:rsid w:val="00F21168"/>
    <w:rsid w:val="00F2226F"/>
    <w:rsid w:val="00F22868"/>
    <w:rsid w:val="00F24529"/>
    <w:rsid w:val="00F25805"/>
    <w:rsid w:val="00F26075"/>
    <w:rsid w:val="00F262F1"/>
    <w:rsid w:val="00F317DC"/>
    <w:rsid w:val="00F31FE6"/>
    <w:rsid w:val="00F32077"/>
    <w:rsid w:val="00F35FC5"/>
    <w:rsid w:val="00F4028B"/>
    <w:rsid w:val="00F40DE2"/>
    <w:rsid w:val="00F4197F"/>
    <w:rsid w:val="00F42CCB"/>
    <w:rsid w:val="00F45641"/>
    <w:rsid w:val="00F46B44"/>
    <w:rsid w:val="00F47BD7"/>
    <w:rsid w:val="00F51995"/>
    <w:rsid w:val="00F52193"/>
    <w:rsid w:val="00F52BFC"/>
    <w:rsid w:val="00F53319"/>
    <w:rsid w:val="00F558B5"/>
    <w:rsid w:val="00F627A6"/>
    <w:rsid w:val="00F64851"/>
    <w:rsid w:val="00F648D2"/>
    <w:rsid w:val="00F6520C"/>
    <w:rsid w:val="00F70E13"/>
    <w:rsid w:val="00F71841"/>
    <w:rsid w:val="00F71CEE"/>
    <w:rsid w:val="00F7304C"/>
    <w:rsid w:val="00F739E6"/>
    <w:rsid w:val="00F75049"/>
    <w:rsid w:val="00F7718F"/>
    <w:rsid w:val="00F7740C"/>
    <w:rsid w:val="00F81038"/>
    <w:rsid w:val="00F81B61"/>
    <w:rsid w:val="00F81FEA"/>
    <w:rsid w:val="00F84983"/>
    <w:rsid w:val="00F8536C"/>
    <w:rsid w:val="00F85AF1"/>
    <w:rsid w:val="00F85FC1"/>
    <w:rsid w:val="00F86105"/>
    <w:rsid w:val="00F869B9"/>
    <w:rsid w:val="00F9015D"/>
    <w:rsid w:val="00F9125F"/>
    <w:rsid w:val="00F944F7"/>
    <w:rsid w:val="00F9488D"/>
    <w:rsid w:val="00F952FF"/>
    <w:rsid w:val="00F9726E"/>
    <w:rsid w:val="00FA12A7"/>
    <w:rsid w:val="00FA2D46"/>
    <w:rsid w:val="00FA3501"/>
    <w:rsid w:val="00FA59AF"/>
    <w:rsid w:val="00FA7658"/>
    <w:rsid w:val="00FB0549"/>
    <w:rsid w:val="00FB0762"/>
    <w:rsid w:val="00FB34EB"/>
    <w:rsid w:val="00FB3C32"/>
    <w:rsid w:val="00FB57C4"/>
    <w:rsid w:val="00FB71FD"/>
    <w:rsid w:val="00FC2F2B"/>
    <w:rsid w:val="00FC42FB"/>
    <w:rsid w:val="00FC45FB"/>
    <w:rsid w:val="00FC4E3A"/>
    <w:rsid w:val="00FC512C"/>
    <w:rsid w:val="00FD0095"/>
    <w:rsid w:val="00FD0367"/>
    <w:rsid w:val="00FD06C9"/>
    <w:rsid w:val="00FD0D7A"/>
    <w:rsid w:val="00FD1E26"/>
    <w:rsid w:val="00FD2CA2"/>
    <w:rsid w:val="00FD4F9B"/>
    <w:rsid w:val="00FD529D"/>
    <w:rsid w:val="00FD52C6"/>
    <w:rsid w:val="00FD555C"/>
    <w:rsid w:val="00FD5C6A"/>
    <w:rsid w:val="00FD67F8"/>
    <w:rsid w:val="00FE387F"/>
    <w:rsid w:val="00FE4204"/>
    <w:rsid w:val="00FE68C5"/>
    <w:rsid w:val="00FE7387"/>
    <w:rsid w:val="00FE7BB9"/>
    <w:rsid w:val="00FF1732"/>
    <w:rsid w:val="00FF181A"/>
    <w:rsid w:val="00FF1E98"/>
    <w:rsid w:val="00FF1FEF"/>
    <w:rsid w:val="00FF2E5E"/>
    <w:rsid w:val="00FF304D"/>
    <w:rsid w:val="00FF32C9"/>
    <w:rsid w:val="00FF5EBE"/>
    <w:rsid w:val="00FF73AE"/>
    <w:rsid w:val="06A84457"/>
    <w:rsid w:val="073A0629"/>
    <w:rsid w:val="07E51AAD"/>
    <w:rsid w:val="0B963AEC"/>
    <w:rsid w:val="0FD508B0"/>
    <w:rsid w:val="10D960A6"/>
    <w:rsid w:val="1D44178B"/>
    <w:rsid w:val="20D36AE6"/>
    <w:rsid w:val="2F0C18A3"/>
    <w:rsid w:val="31067589"/>
    <w:rsid w:val="37BE76CA"/>
    <w:rsid w:val="382F44FB"/>
    <w:rsid w:val="3D2D637B"/>
    <w:rsid w:val="3E0B4D2B"/>
    <w:rsid w:val="44F00175"/>
    <w:rsid w:val="46D26FCE"/>
    <w:rsid w:val="47262F6D"/>
    <w:rsid w:val="47EA4746"/>
    <w:rsid w:val="53177F46"/>
    <w:rsid w:val="58745CE3"/>
    <w:rsid w:val="58A21BA7"/>
    <w:rsid w:val="59B46E27"/>
    <w:rsid w:val="671E14AC"/>
    <w:rsid w:val="71DA6A2D"/>
    <w:rsid w:val="7379507C"/>
    <w:rsid w:val="7E9C7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qFormat/>
    <w:uiPriority w:val="9"/>
    <w:pPr>
      <w:keepNext/>
      <w:keepLines/>
      <w:adjustRightInd w:val="0"/>
      <w:snapToGrid w:val="0"/>
      <w:spacing w:before="100" w:beforeAutospacing="1" w:after="100" w:afterAutospacing="1"/>
      <w:ind w:left="420" w:leftChars="200"/>
      <w:outlineLvl w:val="0"/>
    </w:pPr>
    <w:rPr>
      <w:rFonts w:eastAsia="黑体"/>
      <w:bCs/>
      <w:kern w:val="44"/>
      <w:sz w:val="28"/>
      <w:szCs w:val="44"/>
    </w:rPr>
  </w:style>
  <w:style w:type="paragraph" w:styleId="4">
    <w:name w:val="heading 2"/>
    <w:basedOn w:val="1"/>
    <w:next w:val="1"/>
    <w:link w:val="22"/>
    <w:unhideWhenUsed/>
    <w:qFormat/>
    <w:uiPriority w:val="9"/>
    <w:pPr>
      <w:keepNext/>
      <w:keepLines/>
      <w:snapToGrid w:val="0"/>
      <w:spacing w:before="100" w:beforeAutospacing="1" w:after="100" w:afterAutospacing="1"/>
      <w:ind w:left="420" w:leftChars="200"/>
      <w:outlineLvl w:val="1"/>
    </w:pPr>
    <w:rPr>
      <w:rFonts w:eastAsia="楷体" w:asciiTheme="majorHAnsi" w:hAnsiTheme="majorHAnsi" w:cstheme="majorBidi"/>
      <w:bCs/>
      <w:sz w:val="28"/>
      <w:szCs w:val="32"/>
    </w:rPr>
  </w:style>
  <w:style w:type="paragraph" w:styleId="2">
    <w:name w:val="heading 3"/>
    <w:basedOn w:val="1"/>
    <w:next w:val="1"/>
    <w:link w:val="23"/>
    <w:unhideWhenUsed/>
    <w:qFormat/>
    <w:uiPriority w:val="9"/>
    <w:pPr>
      <w:keepNext/>
      <w:keepLines/>
      <w:spacing w:before="75" w:beforeLines="75" w:after="75" w:afterLines="75" w:line="280" w:lineRule="exact"/>
      <w:ind w:left="200" w:leftChars="200"/>
      <w:outlineLvl w:val="2"/>
    </w:pPr>
    <w:rPr>
      <w:rFonts w:ascii="仿宋" w:hAnsi="仿宋" w:eastAsia="仿宋"/>
      <w:b/>
      <w:bCs/>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1"/>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Date"/>
    <w:basedOn w:val="1"/>
    <w:next w:val="1"/>
    <w:link w:val="24"/>
    <w:semiHidden/>
    <w:unhideWhenUsed/>
    <w:qFormat/>
    <w:uiPriority w:val="99"/>
    <w:pPr>
      <w:ind w:left="100" w:leftChars="2500"/>
    </w:pPr>
  </w:style>
  <w:style w:type="paragraph" w:styleId="8">
    <w:name w:val="Balloon Text"/>
    <w:basedOn w:val="1"/>
    <w:link w:val="25"/>
    <w:semiHidden/>
    <w:unhideWhenUsed/>
    <w:qFormat/>
    <w:uiPriority w:val="99"/>
    <w:rPr>
      <w:sz w:val="18"/>
      <w:szCs w:val="1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5"/>
    <w:next w:val="5"/>
    <w:link w:val="32"/>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styleId="20">
    <w:name w:val="annotation reference"/>
    <w:basedOn w:val="17"/>
    <w:semiHidden/>
    <w:unhideWhenUsed/>
    <w:qFormat/>
    <w:uiPriority w:val="99"/>
    <w:rPr>
      <w:sz w:val="21"/>
      <w:szCs w:val="21"/>
    </w:rPr>
  </w:style>
  <w:style w:type="character" w:customStyle="1" w:styleId="21">
    <w:name w:val="标题 1 字符"/>
    <w:basedOn w:val="17"/>
    <w:link w:val="3"/>
    <w:qFormat/>
    <w:uiPriority w:val="9"/>
    <w:rPr>
      <w:rFonts w:eastAsia="黑体"/>
      <w:bCs/>
      <w:kern w:val="44"/>
      <w:sz w:val="28"/>
      <w:szCs w:val="44"/>
    </w:rPr>
  </w:style>
  <w:style w:type="character" w:customStyle="1" w:styleId="22">
    <w:name w:val="标题 2 字符"/>
    <w:basedOn w:val="17"/>
    <w:link w:val="4"/>
    <w:qFormat/>
    <w:uiPriority w:val="9"/>
    <w:rPr>
      <w:rFonts w:eastAsia="楷体" w:asciiTheme="majorHAnsi" w:hAnsiTheme="majorHAnsi" w:cstheme="majorBidi"/>
      <w:bCs/>
      <w:kern w:val="2"/>
      <w:sz w:val="28"/>
      <w:szCs w:val="32"/>
    </w:rPr>
  </w:style>
  <w:style w:type="character" w:customStyle="1" w:styleId="23">
    <w:name w:val="标题 3 字符"/>
    <w:basedOn w:val="17"/>
    <w:link w:val="2"/>
    <w:qFormat/>
    <w:uiPriority w:val="0"/>
    <w:rPr>
      <w:rFonts w:ascii="仿宋" w:hAnsi="仿宋" w:eastAsia="仿宋"/>
      <w:b/>
      <w:bCs/>
      <w:kern w:val="2"/>
      <w:sz w:val="21"/>
      <w:szCs w:val="32"/>
    </w:rPr>
  </w:style>
  <w:style w:type="character" w:customStyle="1" w:styleId="24">
    <w:name w:val="日期 字符"/>
    <w:basedOn w:val="17"/>
    <w:link w:val="7"/>
    <w:semiHidden/>
    <w:qFormat/>
    <w:uiPriority w:val="99"/>
    <w:rPr>
      <w:kern w:val="2"/>
      <w:sz w:val="21"/>
      <w:szCs w:val="22"/>
    </w:rPr>
  </w:style>
  <w:style w:type="character" w:customStyle="1" w:styleId="25">
    <w:name w:val="批注框文本 字符"/>
    <w:basedOn w:val="17"/>
    <w:link w:val="8"/>
    <w:semiHidden/>
    <w:qFormat/>
    <w:uiPriority w:val="99"/>
    <w:rPr>
      <w:sz w:val="18"/>
      <w:szCs w:val="18"/>
    </w:rPr>
  </w:style>
  <w:style w:type="character" w:customStyle="1" w:styleId="26">
    <w:name w:val="页脚 字符"/>
    <w:basedOn w:val="17"/>
    <w:link w:val="9"/>
    <w:qFormat/>
    <w:uiPriority w:val="99"/>
    <w:rPr>
      <w:sz w:val="18"/>
      <w:szCs w:val="18"/>
    </w:rPr>
  </w:style>
  <w:style w:type="character" w:customStyle="1" w:styleId="27">
    <w:name w:val="页眉 字符"/>
    <w:basedOn w:val="17"/>
    <w:link w:val="10"/>
    <w:qFormat/>
    <w:uiPriority w:val="99"/>
    <w:rPr>
      <w:sz w:val="18"/>
      <w:szCs w:val="18"/>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Cs w:val="28"/>
    </w:rPr>
  </w:style>
  <w:style w:type="paragraph" w:styleId="29">
    <w:name w:val="List Paragraph"/>
    <w:basedOn w:val="1"/>
    <w:qFormat/>
    <w:uiPriority w:val="99"/>
    <w:pPr>
      <w:ind w:firstLine="420" w:firstLineChars="200"/>
    </w:pPr>
  </w:style>
  <w:style w:type="paragraph" w:customStyle="1" w:styleId="30">
    <w:name w:val="列出段落1"/>
    <w:basedOn w:val="1"/>
    <w:semiHidden/>
    <w:qFormat/>
    <w:uiPriority w:val="0"/>
    <w:pPr>
      <w:ind w:firstLine="420" w:firstLineChars="200"/>
    </w:pPr>
    <w:rPr>
      <w:rFonts w:ascii="Calibri" w:hAnsi="Calibri" w:eastAsia="宋体" w:cs="Times New Roman"/>
      <w:szCs w:val="21"/>
    </w:rPr>
  </w:style>
  <w:style w:type="character" w:customStyle="1" w:styleId="31">
    <w:name w:val="批注文字 字符"/>
    <w:basedOn w:val="17"/>
    <w:link w:val="5"/>
    <w:semiHidden/>
    <w:qFormat/>
    <w:uiPriority w:val="99"/>
    <w:rPr>
      <w:kern w:val="2"/>
      <w:sz w:val="21"/>
      <w:szCs w:val="22"/>
    </w:rPr>
  </w:style>
  <w:style w:type="character" w:customStyle="1" w:styleId="32">
    <w:name w:val="批注主题 字符"/>
    <w:basedOn w:val="31"/>
    <w:link w:val="14"/>
    <w:semiHidden/>
    <w:qFormat/>
    <w:uiPriority w:val="99"/>
    <w:rPr>
      <w:b/>
      <w:bCs/>
      <w:kern w:val="2"/>
      <w:sz w:val="21"/>
      <w:szCs w:val="22"/>
    </w:rPr>
  </w:style>
  <w:style w:type="paragraph" w:customStyle="1" w:styleId="33">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F7442-1322-45B3-8FA8-EAC8BA7AF716}">
  <ds:schemaRefs/>
</ds:datastoreItem>
</file>

<file path=docProps/app.xml><?xml version="1.0" encoding="utf-8"?>
<Properties xmlns="http://schemas.openxmlformats.org/officeDocument/2006/extended-properties" xmlns:vt="http://schemas.openxmlformats.org/officeDocument/2006/docPropsVTypes">
  <Template>Normal</Template>
  <Pages>26</Pages>
  <Words>19722</Words>
  <Characters>20498</Characters>
  <Lines>155</Lines>
  <Paragraphs>43</Paragraphs>
  <TotalTime>2</TotalTime>
  <ScaleCrop>false</ScaleCrop>
  <LinksUpToDate>false</LinksUpToDate>
  <CharactersWithSpaces>20773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2022-07-07T01:15:00Z</dcterms:created>
  <dc:creator>谭立霞</dc:creator>
  <cp:lastModifiedBy>D邓。</cp:lastModifiedBy>
  <dcterms:modified xsi:type="dcterms:W3CDTF">2023-08-31T01:20:28Z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DA42B596DB454962851918FFCFE3E7F0</vt:lpwstr>
  </property>
</Properties>
</file>