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A6C1" w14:textId="77777777" w:rsidR="0048780F" w:rsidRPr="00463F80" w:rsidRDefault="0043517D" w:rsidP="0066256F">
      <w:pPr>
        <w:spacing w:line="360" w:lineRule="auto"/>
        <w:ind w:firstLine="640"/>
        <w:rPr>
          <w:rFonts w:ascii="黑体" w:eastAsia="黑体" w:hAnsi="黑体"/>
          <w:sz w:val="32"/>
          <w:szCs w:val="32"/>
        </w:rPr>
      </w:pPr>
      <w:bookmarkStart w:id="0" w:name="_GoBack"/>
      <w:bookmarkEnd w:id="0"/>
      <w:r w:rsidRPr="00463F80">
        <w:rPr>
          <w:rFonts w:ascii="黑体" w:eastAsia="黑体" w:hAnsi="黑体"/>
          <w:sz w:val="32"/>
          <w:szCs w:val="32"/>
        </w:rPr>
        <w:t>附件1</w:t>
      </w:r>
    </w:p>
    <w:p w14:paraId="0046F9BB" w14:textId="77777777" w:rsidR="0048780F" w:rsidRPr="00463F80" w:rsidRDefault="0043517D">
      <w:pPr>
        <w:spacing w:line="360" w:lineRule="auto"/>
        <w:ind w:firstLineChars="150" w:firstLine="480"/>
        <w:rPr>
          <w:rFonts w:ascii="仿宋_GB2312" w:eastAsia="仿宋_GB2312" w:hAnsi="仿宋_GB2312"/>
          <w:sz w:val="32"/>
          <w:szCs w:val="32"/>
        </w:rPr>
      </w:pPr>
      <w:r w:rsidRPr="00463F80">
        <w:rPr>
          <w:rFonts w:ascii="仿宋_GB2312" w:eastAsia="仿宋_GB2312" w:hAnsi="仿宋_GB2312"/>
          <w:sz w:val="32"/>
          <w:szCs w:val="32"/>
        </w:rPr>
        <w:t xml:space="preserve">     </w:t>
      </w:r>
    </w:p>
    <w:p w14:paraId="106BB3F3" w14:textId="77777777" w:rsidR="001E7CF2" w:rsidRPr="00463F80" w:rsidRDefault="001E7CF2" w:rsidP="0066256F">
      <w:pPr>
        <w:spacing w:line="360" w:lineRule="auto"/>
        <w:ind w:firstLine="880"/>
        <w:jc w:val="center"/>
        <w:rPr>
          <w:rFonts w:ascii="方正小标宋简体" w:eastAsia="方正小标宋简体" w:hAnsi="方正小标宋简体"/>
          <w:sz w:val="44"/>
          <w:szCs w:val="44"/>
        </w:rPr>
      </w:pPr>
    </w:p>
    <w:p w14:paraId="0EE32E7F" w14:textId="737FB434" w:rsidR="001E7CF2" w:rsidRPr="00463F80" w:rsidRDefault="001E7CF2" w:rsidP="0066256F">
      <w:pPr>
        <w:spacing w:line="360" w:lineRule="auto"/>
        <w:ind w:firstLine="1044"/>
        <w:jc w:val="center"/>
        <w:rPr>
          <w:rFonts w:ascii="方正小标宋简体" w:eastAsia="方正小标宋简体" w:hAnsi="方正小标宋简体"/>
          <w:sz w:val="44"/>
          <w:szCs w:val="44"/>
        </w:rPr>
      </w:pPr>
      <w:r w:rsidRPr="00463F80">
        <w:rPr>
          <w:rFonts w:ascii="黑体" w:eastAsia="黑体" w:hAnsi="华文楷体" w:cs="Times New Roman"/>
          <w:b/>
          <w:noProof/>
          <w:sz w:val="52"/>
          <w:szCs w:val="52"/>
        </w:rPr>
        <w:drawing>
          <wp:inline distT="0" distB="0" distL="0" distR="0" wp14:anchorId="05312787" wp14:editId="49C62A74">
            <wp:extent cx="5274310" cy="16459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ao_06.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1645920"/>
                    </a:xfrm>
                    <a:prstGeom prst="rect">
                      <a:avLst/>
                    </a:prstGeom>
                  </pic:spPr>
                </pic:pic>
              </a:graphicData>
            </a:graphic>
          </wp:inline>
        </w:drawing>
      </w:r>
    </w:p>
    <w:p w14:paraId="009A4298" w14:textId="77777777" w:rsidR="001E7CF2" w:rsidRPr="00463F80" w:rsidRDefault="001E7CF2" w:rsidP="0066256F">
      <w:pPr>
        <w:spacing w:line="360" w:lineRule="auto"/>
        <w:ind w:firstLine="1040"/>
        <w:jc w:val="center"/>
        <w:rPr>
          <w:rFonts w:ascii="方正小标宋简体" w:eastAsia="方正小标宋简体" w:hAnsi="方正小标宋简体"/>
          <w:sz w:val="52"/>
          <w:szCs w:val="44"/>
        </w:rPr>
      </w:pPr>
    </w:p>
    <w:p w14:paraId="3DE73694" w14:textId="1C20A764" w:rsidR="0048780F" w:rsidRPr="00463F80" w:rsidRDefault="00995BFF" w:rsidP="0066256F">
      <w:pPr>
        <w:spacing w:line="360" w:lineRule="auto"/>
        <w:ind w:firstLine="1040"/>
        <w:jc w:val="center"/>
        <w:rPr>
          <w:rFonts w:ascii="方正小标宋简体" w:eastAsia="方正小标宋简体" w:hAnsi="方正小标宋简体"/>
          <w:sz w:val="52"/>
          <w:szCs w:val="44"/>
        </w:rPr>
      </w:pPr>
      <w:r w:rsidRPr="00463F80">
        <w:rPr>
          <w:rFonts w:ascii="方正小标宋简体" w:eastAsia="方正小标宋简体" w:hAnsi="方正小标宋简体" w:hint="eastAsia"/>
          <w:sz w:val="52"/>
          <w:szCs w:val="44"/>
        </w:rPr>
        <w:t>2020年</w:t>
      </w:r>
      <w:r w:rsidR="0043517D" w:rsidRPr="00463F80">
        <w:rPr>
          <w:rFonts w:ascii="方正小标宋简体" w:eastAsia="方正小标宋简体" w:hAnsi="方正小标宋简体"/>
          <w:sz w:val="52"/>
          <w:szCs w:val="44"/>
        </w:rPr>
        <w:t>整体绩效自评报告</w:t>
      </w:r>
    </w:p>
    <w:p w14:paraId="6A2595B8" w14:textId="77777777" w:rsidR="0048780F" w:rsidRPr="00463F80" w:rsidRDefault="0048780F">
      <w:pPr>
        <w:spacing w:line="360" w:lineRule="auto"/>
        <w:ind w:firstLineChars="150" w:firstLine="450"/>
        <w:rPr>
          <w:rFonts w:ascii="仿宋_GB2312" w:eastAsia="仿宋_GB2312" w:hAnsi="仿宋_GB2312"/>
          <w:sz w:val="30"/>
          <w:szCs w:val="30"/>
        </w:rPr>
      </w:pPr>
    </w:p>
    <w:p w14:paraId="743C41D1" w14:textId="77777777" w:rsidR="0048780F" w:rsidRPr="00463F80" w:rsidRDefault="0048780F">
      <w:pPr>
        <w:spacing w:line="360" w:lineRule="auto"/>
        <w:ind w:firstLineChars="150" w:firstLine="450"/>
        <w:rPr>
          <w:rFonts w:ascii="仿宋_GB2312" w:eastAsia="仿宋_GB2312" w:hAnsi="仿宋_GB2312"/>
          <w:sz w:val="30"/>
          <w:szCs w:val="30"/>
        </w:rPr>
      </w:pPr>
    </w:p>
    <w:p w14:paraId="46B5EAC8" w14:textId="77777777" w:rsidR="0048780F" w:rsidRPr="00463F80" w:rsidRDefault="0048780F">
      <w:pPr>
        <w:spacing w:line="360" w:lineRule="auto"/>
        <w:ind w:firstLineChars="150" w:firstLine="450"/>
        <w:rPr>
          <w:rFonts w:ascii="仿宋_GB2312" w:eastAsia="仿宋_GB2312" w:hAnsi="仿宋_GB2312"/>
          <w:sz w:val="30"/>
          <w:szCs w:val="30"/>
        </w:rPr>
      </w:pPr>
    </w:p>
    <w:p w14:paraId="4BFCDE3C" w14:textId="77777777" w:rsidR="0048780F" w:rsidRPr="00463F80" w:rsidRDefault="0043517D" w:rsidP="0066256F">
      <w:pPr>
        <w:spacing w:line="360" w:lineRule="auto"/>
        <w:ind w:firstLine="640"/>
        <w:rPr>
          <w:rFonts w:ascii="仿宋_GB2312" w:eastAsia="仿宋_GB2312" w:hAnsi="仿宋_GB2312"/>
          <w:sz w:val="32"/>
          <w:szCs w:val="32"/>
        </w:rPr>
      </w:pPr>
      <w:r w:rsidRPr="00463F80">
        <w:rPr>
          <w:rFonts w:ascii="仿宋_GB2312" w:eastAsia="仿宋_GB2312" w:hAnsi="仿宋_GB2312"/>
          <w:sz w:val="32"/>
          <w:szCs w:val="32"/>
        </w:rPr>
        <w:t xml:space="preserve">     </w:t>
      </w:r>
    </w:p>
    <w:p w14:paraId="3EE68CFF" w14:textId="77777777" w:rsidR="0048780F" w:rsidRPr="00463F80" w:rsidRDefault="0043517D" w:rsidP="00995BFF">
      <w:pPr>
        <w:spacing w:line="360" w:lineRule="auto"/>
        <w:ind w:firstLineChars="797" w:firstLine="2550"/>
        <w:jc w:val="left"/>
        <w:rPr>
          <w:rFonts w:ascii="仿宋_GB2312" w:eastAsia="仿宋_GB2312" w:hAnsi="仿宋_GB2312"/>
          <w:sz w:val="32"/>
          <w:szCs w:val="32"/>
          <w:shd w:val="clear" w:color="auto" w:fill="FFFF00"/>
        </w:rPr>
      </w:pPr>
      <w:r w:rsidRPr="00463F80">
        <w:rPr>
          <w:rFonts w:ascii="仿宋_GB2312" w:eastAsia="仿宋_GB2312" w:hAnsi="仿宋_GB2312"/>
          <w:sz w:val="32"/>
          <w:szCs w:val="32"/>
        </w:rPr>
        <w:t>部门名称：（公章）广东工贸职业技术学院</w:t>
      </w:r>
    </w:p>
    <w:p w14:paraId="2DBBED60" w14:textId="77777777" w:rsidR="0048780F" w:rsidRPr="00463F80" w:rsidRDefault="0043517D" w:rsidP="00995BFF">
      <w:pPr>
        <w:spacing w:line="360" w:lineRule="auto"/>
        <w:ind w:firstLineChars="797" w:firstLine="2550"/>
        <w:jc w:val="left"/>
        <w:rPr>
          <w:rFonts w:ascii="仿宋_GB2312" w:eastAsia="仿宋_GB2312" w:hAnsi="仿宋_GB2312"/>
          <w:sz w:val="32"/>
          <w:szCs w:val="32"/>
        </w:rPr>
      </w:pPr>
      <w:r w:rsidRPr="00463F80">
        <w:rPr>
          <w:rFonts w:ascii="仿宋_GB2312" w:eastAsia="仿宋_GB2312" w:hAnsi="仿宋_GB2312"/>
          <w:sz w:val="32"/>
          <w:szCs w:val="32"/>
        </w:rPr>
        <w:t>下属二级预算单位数量：零</w:t>
      </w:r>
    </w:p>
    <w:p w14:paraId="1D8E5471" w14:textId="40B20C85" w:rsidR="0048780F" w:rsidRPr="00463F80" w:rsidRDefault="0043517D" w:rsidP="00995BFF">
      <w:pPr>
        <w:spacing w:line="360" w:lineRule="auto"/>
        <w:ind w:firstLineChars="797" w:firstLine="2550"/>
        <w:jc w:val="left"/>
        <w:rPr>
          <w:rFonts w:ascii="仿宋_GB2312" w:eastAsia="仿宋_GB2312" w:hAnsi="仿宋_GB2312"/>
          <w:sz w:val="32"/>
          <w:szCs w:val="32"/>
        </w:rPr>
      </w:pPr>
      <w:r w:rsidRPr="00463F80">
        <w:rPr>
          <w:rFonts w:ascii="仿宋_GB2312" w:eastAsia="仿宋_GB2312" w:hAnsi="仿宋_GB2312"/>
          <w:sz w:val="32"/>
          <w:szCs w:val="32"/>
        </w:rPr>
        <w:t>填报人：</w:t>
      </w:r>
      <w:r w:rsidR="00A642E3" w:rsidRPr="00463F80">
        <w:rPr>
          <w:rFonts w:ascii="仿宋_GB2312" w:eastAsia="仿宋_GB2312" w:hAnsi="仿宋_GB2312"/>
          <w:sz w:val="32"/>
          <w:szCs w:val="32"/>
        </w:rPr>
        <w:t>吴</w:t>
      </w:r>
      <w:r w:rsidR="001E7CF2" w:rsidRPr="00463F80">
        <w:rPr>
          <w:rFonts w:ascii="仿宋_GB2312" w:eastAsia="仿宋_GB2312" w:hAnsi="仿宋_GB2312" w:hint="eastAsia"/>
          <w:sz w:val="32"/>
          <w:szCs w:val="32"/>
        </w:rPr>
        <w:t xml:space="preserve"> </w:t>
      </w:r>
      <w:r w:rsidR="00A642E3" w:rsidRPr="00463F80">
        <w:rPr>
          <w:rFonts w:ascii="仿宋_GB2312" w:eastAsia="仿宋_GB2312" w:hAnsi="仿宋_GB2312"/>
          <w:sz w:val="32"/>
          <w:szCs w:val="32"/>
        </w:rPr>
        <w:t>浩</w:t>
      </w:r>
    </w:p>
    <w:p w14:paraId="784A4159" w14:textId="51E1DDE8" w:rsidR="0048780F" w:rsidRPr="00463F80" w:rsidRDefault="0043517D" w:rsidP="00995BFF">
      <w:pPr>
        <w:spacing w:line="360" w:lineRule="auto"/>
        <w:ind w:firstLineChars="797" w:firstLine="2550"/>
        <w:jc w:val="left"/>
        <w:rPr>
          <w:rFonts w:ascii="仿宋_GB2312" w:eastAsia="仿宋_GB2312" w:hAnsi="仿宋_GB2312"/>
          <w:sz w:val="32"/>
          <w:szCs w:val="32"/>
        </w:rPr>
      </w:pPr>
      <w:r w:rsidRPr="00463F80">
        <w:rPr>
          <w:rFonts w:ascii="仿宋_GB2312" w:eastAsia="仿宋_GB2312" w:hAnsi="仿宋_GB2312"/>
          <w:sz w:val="32"/>
          <w:szCs w:val="32"/>
        </w:rPr>
        <w:t>联系电话：</w:t>
      </w:r>
      <w:r w:rsidR="00A642E3" w:rsidRPr="00463F80">
        <w:rPr>
          <w:rFonts w:ascii="仿宋_GB2312" w:eastAsia="仿宋_GB2312" w:hAnsi="仿宋_GB2312" w:hint="eastAsia"/>
          <w:sz w:val="32"/>
          <w:szCs w:val="32"/>
        </w:rPr>
        <w:t>020-87706176</w:t>
      </w:r>
    </w:p>
    <w:p w14:paraId="7BA32D74" w14:textId="3C7B80F9" w:rsidR="009D7A67" w:rsidRPr="00463F80" w:rsidRDefault="0043517D" w:rsidP="00995BFF">
      <w:pPr>
        <w:spacing w:line="360" w:lineRule="auto"/>
        <w:ind w:firstLineChars="797" w:firstLine="2550"/>
        <w:jc w:val="left"/>
        <w:rPr>
          <w:rFonts w:ascii="仿宋_GB2312" w:eastAsia="仿宋_GB2312" w:hAnsi="仿宋_GB2312"/>
          <w:sz w:val="32"/>
          <w:szCs w:val="32"/>
        </w:rPr>
      </w:pPr>
      <w:r w:rsidRPr="00463F80">
        <w:rPr>
          <w:rFonts w:ascii="仿宋_GB2312" w:eastAsia="仿宋_GB2312" w:hAnsi="仿宋_GB2312"/>
          <w:sz w:val="32"/>
          <w:szCs w:val="32"/>
        </w:rPr>
        <w:t>填报日期：</w:t>
      </w:r>
      <w:r w:rsidR="00A642E3" w:rsidRPr="00463F80">
        <w:rPr>
          <w:rFonts w:ascii="仿宋_GB2312" w:eastAsia="仿宋_GB2312" w:hAnsi="仿宋_GB2312" w:hint="eastAsia"/>
          <w:sz w:val="32"/>
          <w:szCs w:val="32"/>
        </w:rPr>
        <w:t>2020年5月28日</w:t>
      </w:r>
      <w:r w:rsidR="009D7A67" w:rsidRPr="00463F80">
        <w:rPr>
          <w:rFonts w:ascii="仿宋_GB2312" w:eastAsia="仿宋_GB2312" w:hAnsi="仿宋_GB2312"/>
          <w:sz w:val="32"/>
          <w:szCs w:val="32"/>
        </w:rPr>
        <w:br w:type="page"/>
      </w:r>
    </w:p>
    <w:sdt>
      <w:sdtPr>
        <w:rPr>
          <w:rFonts w:asciiTheme="minorHAnsi" w:eastAsiaTheme="minorEastAsia" w:hAnsiTheme="minorHAnsi" w:cstheme="minorBidi"/>
          <w:b w:val="0"/>
          <w:bCs w:val="0"/>
          <w:color w:val="auto"/>
          <w:kern w:val="2"/>
          <w:sz w:val="21"/>
          <w:szCs w:val="22"/>
          <w:lang w:val="zh-CN"/>
        </w:rPr>
        <w:id w:val="-160544402"/>
        <w:docPartObj>
          <w:docPartGallery w:val="Table of Contents"/>
          <w:docPartUnique/>
        </w:docPartObj>
      </w:sdtPr>
      <w:sdtEndPr/>
      <w:sdtContent>
        <w:p w14:paraId="3D24E734" w14:textId="6973ECD4" w:rsidR="009D7A67" w:rsidRPr="00463F80" w:rsidRDefault="009D7A67" w:rsidP="0066256F">
          <w:pPr>
            <w:pStyle w:val="TOC"/>
            <w:ind w:firstLine="420"/>
            <w:jc w:val="center"/>
            <w:rPr>
              <w:color w:val="auto"/>
              <w:sz w:val="40"/>
            </w:rPr>
          </w:pPr>
          <w:r w:rsidRPr="00463F80">
            <w:rPr>
              <w:color w:val="auto"/>
              <w:sz w:val="40"/>
              <w:lang w:val="zh-CN"/>
            </w:rPr>
            <w:t>目</w:t>
          </w:r>
          <w:r w:rsidR="00745003" w:rsidRPr="00463F80">
            <w:rPr>
              <w:rFonts w:hint="eastAsia"/>
              <w:color w:val="auto"/>
              <w:sz w:val="40"/>
              <w:lang w:val="zh-CN"/>
            </w:rPr>
            <w:t xml:space="preserve"> </w:t>
          </w:r>
          <w:r w:rsidRPr="00463F80">
            <w:rPr>
              <w:color w:val="auto"/>
              <w:sz w:val="40"/>
              <w:lang w:val="zh-CN"/>
            </w:rPr>
            <w:t>录</w:t>
          </w:r>
        </w:p>
        <w:p w14:paraId="2E7C1849" w14:textId="77777777" w:rsidR="00B27EBE" w:rsidRPr="00463F80" w:rsidRDefault="009D7A67" w:rsidP="0066256F">
          <w:pPr>
            <w:pStyle w:val="10"/>
            <w:adjustRightInd w:val="0"/>
            <w:snapToGrid w:val="0"/>
            <w:spacing w:line="300" w:lineRule="auto"/>
            <w:ind w:firstLine="562"/>
            <w:rPr>
              <w:rFonts w:ascii="仿宋" w:eastAsia="仿宋" w:hAnsi="仿宋"/>
            </w:rPr>
          </w:pPr>
          <w:r w:rsidRPr="00463F80">
            <w:fldChar w:fldCharType="begin"/>
          </w:r>
          <w:r w:rsidRPr="00463F80">
            <w:instrText xml:space="preserve"> TOC \o "1-3" \h \z \u </w:instrText>
          </w:r>
          <w:r w:rsidRPr="00463F80">
            <w:fldChar w:fldCharType="separate"/>
          </w:r>
          <w:hyperlink w:anchor="_Toc41904189" w:history="1">
            <w:r w:rsidR="00B27EBE" w:rsidRPr="00463F80">
              <w:rPr>
                <w:rStyle w:val="a8"/>
                <w:rFonts w:ascii="仿宋" w:eastAsia="仿宋" w:hAnsi="仿宋" w:hint="eastAsia"/>
                <w:color w:val="auto"/>
              </w:rPr>
              <w:t>第一部分</w:t>
            </w:r>
            <w:r w:rsidR="00B27EBE" w:rsidRPr="00463F80">
              <w:rPr>
                <w:rStyle w:val="a8"/>
                <w:rFonts w:ascii="仿宋" w:eastAsia="仿宋" w:hAnsi="仿宋"/>
                <w:color w:val="auto"/>
              </w:rPr>
              <w:t xml:space="preserve"> </w:t>
            </w:r>
            <w:r w:rsidR="00B27EBE" w:rsidRPr="00463F80">
              <w:rPr>
                <w:rStyle w:val="a8"/>
                <w:rFonts w:ascii="仿宋" w:eastAsia="仿宋" w:hAnsi="仿宋" w:hint="eastAsia"/>
                <w:color w:val="auto"/>
              </w:rPr>
              <w:t>部门基本情况</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_Toc41904189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3</w:t>
            </w:r>
            <w:r w:rsidR="00B27EBE" w:rsidRPr="00463F80">
              <w:rPr>
                <w:rFonts w:ascii="仿宋" w:eastAsia="仿宋" w:hAnsi="仿宋"/>
                <w:webHidden/>
              </w:rPr>
              <w:fldChar w:fldCharType="end"/>
            </w:r>
          </w:hyperlink>
        </w:p>
        <w:p w14:paraId="69BC7B2A" w14:textId="77777777" w:rsidR="00B27EBE" w:rsidRPr="00463F80" w:rsidRDefault="0019047D" w:rsidP="0066256F">
          <w:pPr>
            <w:pStyle w:val="20"/>
            <w:adjustRightInd w:val="0"/>
            <w:snapToGrid w:val="0"/>
            <w:spacing w:line="300" w:lineRule="auto"/>
            <w:ind w:firstLine="560"/>
            <w:rPr>
              <w:rFonts w:ascii="仿宋" w:eastAsia="仿宋" w:hAnsi="仿宋"/>
            </w:rPr>
          </w:pPr>
          <w:hyperlink w:anchor="_Toc41904190" w:history="1">
            <w:r w:rsidR="00B27EBE" w:rsidRPr="00463F80">
              <w:rPr>
                <w:rStyle w:val="a8"/>
                <w:rFonts w:ascii="仿宋" w:eastAsia="仿宋" w:hAnsi="仿宋" w:hint="eastAsia"/>
                <w:color w:val="auto"/>
              </w:rPr>
              <w:t>一、部门职能</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_Toc41904190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3</w:t>
            </w:r>
            <w:r w:rsidR="00B27EBE" w:rsidRPr="00463F80">
              <w:rPr>
                <w:rFonts w:ascii="仿宋" w:eastAsia="仿宋" w:hAnsi="仿宋"/>
                <w:webHidden/>
              </w:rPr>
              <w:fldChar w:fldCharType="end"/>
            </w:r>
          </w:hyperlink>
        </w:p>
        <w:p w14:paraId="7ECDE181" w14:textId="77777777" w:rsidR="00B27EBE" w:rsidRPr="00463F80" w:rsidRDefault="0019047D" w:rsidP="0066256F">
          <w:pPr>
            <w:pStyle w:val="20"/>
            <w:adjustRightInd w:val="0"/>
            <w:snapToGrid w:val="0"/>
            <w:spacing w:line="300" w:lineRule="auto"/>
            <w:ind w:firstLine="560"/>
            <w:rPr>
              <w:rFonts w:ascii="仿宋" w:eastAsia="仿宋" w:hAnsi="仿宋"/>
            </w:rPr>
          </w:pPr>
          <w:hyperlink w:anchor="_Toc41904191" w:history="1">
            <w:r w:rsidR="00B27EBE" w:rsidRPr="00463F80">
              <w:rPr>
                <w:rStyle w:val="a8"/>
                <w:rFonts w:ascii="仿宋" w:eastAsia="仿宋" w:hAnsi="仿宋" w:hint="eastAsia"/>
                <w:color w:val="auto"/>
              </w:rPr>
              <w:t>二、年度总体工作和重点工作任务</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_Toc41904191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4</w:t>
            </w:r>
            <w:r w:rsidR="00B27EBE" w:rsidRPr="00463F80">
              <w:rPr>
                <w:rFonts w:ascii="仿宋" w:eastAsia="仿宋" w:hAnsi="仿宋"/>
                <w:webHidden/>
              </w:rPr>
              <w:fldChar w:fldCharType="end"/>
            </w:r>
          </w:hyperlink>
        </w:p>
        <w:p w14:paraId="3B511D9B"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192" w:history="1">
            <w:r w:rsidR="00B27EBE" w:rsidRPr="00463F80">
              <w:rPr>
                <w:rStyle w:val="a8"/>
                <w:rFonts w:ascii="仿宋" w:eastAsia="仿宋" w:hAnsi="仿宋" w:hint="eastAsia"/>
                <w:noProof/>
                <w:color w:val="auto"/>
                <w:sz w:val="28"/>
                <w:szCs w:val="28"/>
              </w:rPr>
              <w:t>（一）年度总体工作任务</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_Toc41904192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4</w:t>
            </w:r>
            <w:r w:rsidR="00B27EBE" w:rsidRPr="00463F80">
              <w:rPr>
                <w:rFonts w:ascii="仿宋" w:eastAsia="仿宋" w:hAnsi="仿宋"/>
                <w:noProof/>
                <w:webHidden/>
                <w:sz w:val="28"/>
                <w:szCs w:val="28"/>
              </w:rPr>
              <w:fldChar w:fldCharType="end"/>
            </w:r>
          </w:hyperlink>
        </w:p>
        <w:p w14:paraId="31E99402"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193" w:history="1">
            <w:r w:rsidR="00B27EBE" w:rsidRPr="00463F80">
              <w:rPr>
                <w:rStyle w:val="a8"/>
                <w:rFonts w:ascii="仿宋" w:eastAsia="仿宋" w:hAnsi="仿宋" w:hint="eastAsia"/>
                <w:noProof/>
                <w:color w:val="auto"/>
                <w:sz w:val="28"/>
                <w:szCs w:val="28"/>
              </w:rPr>
              <w:t>（二）年度重点工作任务</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_Toc41904193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6</w:t>
            </w:r>
            <w:r w:rsidR="00B27EBE" w:rsidRPr="00463F80">
              <w:rPr>
                <w:rFonts w:ascii="仿宋" w:eastAsia="仿宋" w:hAnsi="仿宋"/>
                <w:noProof/>
                <w:webHidden/>
                <w:sz w:val="28"/>
                <w:szCs w:val="28"/>
              </w:rPr>
              <w:fldChar w:fldCharType="end"/>
            </w:r>
          </w:hyperlink>
        </w:p>
        <w:p w14:paraId="68DFDC41" w14:textId="77777777" w:rsidR="00B27EBE" w:rsidRPr="00463F80" w:rsidRDefault="0019047D" w:rsidP="0066256F">
          <w:pPr>
            <w:pStyle w:val="20"/>
            <w:adjustRightInd w:val="0"/>
            <w:snapToGrid w:val="0"/>
            <w:spacing w:line="300" w:lineRule="auto"/>
            <w:ind w:firstLine="560"/>
            <w:rPr>
              <w:rFonts w:ascii="仿宋" w:eastAsia="仿宋" w:hAnsi="仿宋"/>
              <w:b/>
            </w:rPr>
          </w:pPr>
          <w:hyperlink w:anchor="_Toc41904194" w:history="1">
            <w:r w:rsidR="00B27EBE" w:rsidRPr="00463F80">
              <w:rPr>
                <w:rStyle w:val="a8"/>
                <w:rFonts w:ascii="仿宋" w:eastAsia="仿宋" w:hAnsi="仿宋" w:hint="eastAsia"/>
                <w:color w:val="auto"/>
              </w:rPr>
              <w:t>三、部门整体支出绩效目标、绩效指标</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_Toc41904194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9</w:t>
            </w:r>
            <w:r w:rsidR="00B27EBE" w:rsidRPr="00463F80">
              <w:rPr>
                <w:rFonts w:ascii="仿宋" w:eastAsia="仿宋" w:hAnsi="仿宋"/>
                <w:webHidden/>
              </w:rPr>
              <w:fldChar w:fldCharType="end"/>
            </w:r>
          </w:hyperlink>
        </w:p>
        <w:p w14:paraId="6F11870C"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195" w:history="1">
            <w:r w:rsidR="00B27EBE" w:rsidRPr="00463F80">
              <w:rPr>
                <w:rStyle w:val="a8"/>
                <w:rFonts w:ascii="仿宋" w:eastAsia="仿宋" w:hAnsi="仿宋" w:hint="eastAsia"/>
                <w:noProof/>
                <w:color w:val="auto"/>
                <w:sz w:val="28"/>
                <w:szCs w:val="28"/>
              </w:rPr>
              <w:t>（一）部门整体支出绩效目标</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_Toc41904195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9</w:t>
            </w:r>
            <w:r w:rsidR="00B27EBE" w:rsidRPr="00463F80">
              <w:rPr>
                <w:rFonts w:ascii="仿宋" w:eastAsia="仿宋" w:hAnsi="仿宋"/>
                <w:noProof/>
                <w:webHidden/>
                <w:sz w:val="28"/>
                <w:szCs w:val="28"/>
              </w:rPr>
              <w:fldChar w:fldCharType="end"/>
            </w:r>
          </w:hyperlink>
        </w:p>
        <w:p w14:paraId="0E76C49C"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196" w:history="1">
            <w:r w:rsidR="00B27EBE" w:rsidRPr="00463F80">
              <w:rPr>
                <w:rStyle w:val="a8"/>
                <w:rFonts w:ascii="仿宋" w:eastAsia="仿宋" w:hAnsi="仿宋" w:hint="eastAsia"/>
                <w:noProof/>
                <w:color w:val="auto"/>
                <w:sz w:val="28"/>
                <w:szCs w:val="28"/>
              </w:rPr>
              <w:t>（二）部门支出总体绩效指标</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_Toc41904196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12</w:t>
            </w:r>
            <w:r w:rsidR="00B27EBE" w:rsidRPr="00463F80">
              <w:rPr>
                <w:rFonts w:ascii="仿宋" w:eastAsia="仿宋" w:hAnsi="仿宋"/>
                <w:noProof/>
                <w:webHidden/>
                <w:sz w:val="28"/>
                <w:szCs w:val="28"/>
              </w:rPr>
              <w:fldChar w:fldCharType="end"/>
            </w:r>
          </w:hyperlink>
        </w:p>
        <w:p w14:paraId="7D6141B3" w14:textId="0B773BD1" w:rsidR="00B27EBE" w:rsidRPr="00463F80" w:rsidRDefault="0019047D" w:rsidP="0066256F">
          <w:pPr>
            <w:pStyle w:val="20"/>
            <w:adjustRightInd w:val="0"/>
            <w:snapToGrid w:val="0"/>
            <w:spacing w:line="300" w:lineRule="auto"/>
            <w:ind w:firstLine="560"/>
            <w:rPr>
              <w:rFonts w:ascii="仿宋" w:eastAsia="仿宋" w:hAnsi="仿宋"/>
            </w:rPr>
          </w:pPr>
          <w:hyperlink w:anchor="_Toc41904197" w:history="1">
            <w:r w:rsidR="00B27EBE" w:rsidRPr="00463F80">
              <w:rPr>
                <w:rStyle w:val="a8"/>
                <w:rFonts w:ascii="仿宋" w:eastAsia="仿宋" w:hAnsi="仿宋" w:hint="eastAsia"/>
                <w:color w:val="auto"/>
              </w:rPr>
              <w:t>四、部门整体支出情况</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_Toc41904197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12</w:t>
            </w:r>
            <w:r w:rsidR="00B27EBE" w:rsidRPr="00463F80">
              <w:rPr>
                <w:rFonts w:ascii="仿宋" w:eastAsia="仿宋" w:hAnsi="仿宋"/>
                <w:webHidden/>
              </w:rPr>
              <w:fldChar w:fldCharType="end"/>
            </w:r>
          </w:hyperlink>
        </w:p>
        <w:p w14:paraId="1722769A" w14:textId="77777777" w:rsidR="00B27EBE" w:rsidRPr="00463F80" w:rsidRDefault="0019047D" w:rsidP="0066256F">
          <w:pPr>
            <w:pStyle w:val="10"/>
            <w:adjustRightInd w:val="0"/>
            <w:snapToGrid w:val="0"/>
            <w:spacing w:line="300" w:lineRule="auto"/>
            <w:ind w:firstLine="562"/>
            <w:rPr>
              <w:rFonts w:ascii="仿宋" w:eastAsia="仿宋" w:hAnsi="仿宋"/>
            </w:rPr>
          </w:pPr>
          <w:hyperlink w:anchor="_Toc41904198" w:history="1">
            <w:r w:rsidR="00B27EBE" w:rsidRPr="00463F80">
              <w:rPr>
                <w:rStyle w:val="a8"/>
                <w:rFonts w:ascii="仿宋" w:eastAsia="仿宋" w:hAnsi="仿宋" w:hint="eastAsia"/>
                <w:color w:val="auto"/>
              </w:rPr>
              <w:t>第二部分</w:t>
            </w:r>
            <w:r w:rsidR="00B27EBE" w:rsidRPr="00463F80">
              <w:rPr>
                <w:rStyle w:val="a8"/>
                <w:rFonts w:ascii="仿宋" w:eastAsia="仿宋" w:hAnsi="仿宋"/>
                <w:color w:val="auto"/>
              </w:rPr>
              <w:t xml:space="preserve"> </w:t>
            </w:r>
            <w:r w:rsidR="00B27EBE" w:rsidRPr="00463F80">
              <w:rPr>
                <w:rStyle w:val="a8"/>
                <w:rFonts w:ascii="仿宋" w:eastAsia="仿宋" w:hAnsi="仿宋" w:hint="eastAsia"/>
                <w:color w:val="auto"/>
              </w:rPr>
              <w:t>绩效自评情况</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_Toc41904198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16</w:t>
            </w:r>
            <w:r w:rsidR="00B27EBE" w:rsidRPr="00463F80">
              <w:rPr>
                <w:rFonts w:ascii="仿宋" w:eastAsia="仿宋" w:hAnsi="仿宋"/>
                <w:webHidden/>
              </w:rPr>
              <w:fldChar w:fldCharType="end"/>
            </w:r>
          </w:hyperlink>
        </w:p>
        <w:p w14:paraId="202CAE1D" w14:textId="77777777" w:rsidR="00B27EBE" w:rsidRPr="00463F80" w:rsidRDefault="0019047D" w:rsidP="0066256F">
          <w:pPr>
            <w:pStyle w:val="20"/>
            <w:adjustRightInd w:val="0"/>
            <w:snapToGrid w:val="0"/>
            <w:spacing w:line="300" w:lineRule="auto"/>
            <w:ind w:firstLine="560"/>
            <w:rPr>
              <w:rFonts w:ascii="仿宋" w:eastAsia="仿宋" w:hAnsi="仿宋"/>
              <w:b/>
            </w:rPr>
          </w:pPr>
          <w:hyperlink w:anchor="_Toc41904199" w:history="1">
            <w:r w:rsidR="00B27EBE" w:rsidRPr="00463F80">
              <w:rPr>
                <w:rStyle w:val="a8"/>
                <w:rFonts w:ascii="仿宋" w:eastAsia="仿宋" w:hAnsi="仿宋" w:hint="eastAsia"/>
                <w:color w:val="auto"/>
              </w:rPr>
              <w:t>一、预算编制情况</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_Toc41904199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16</w:t>
            </w:r>
            <w:r w:rsidR="00B27EBE" w:rsidRPr="00463F80">
              <w:rPr>
                <w:rFonts w:ascii="仿宋" w:eastAsia="仿宋" w:hAnsi="仿宋"/>
                <w:webHidden/>
              </w:rPr>
              <w:fldChar w:fldCharType="end"/>
            </w:r>
          </w:hyperlink>
        </w:p>
        <w:p w14:paraId="6D2062E7"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0" w:history="1">
            <w:r w:rsidR="00B27EBE" w:rsidRPr="00463F80">
              <w:rPr>
                <w:rStyle w:val="a8"/>
                <w:rFonts w:ascii="仿宋" w:eastAsia="仿宋" w:hAnsi="仿宋" w:hint="eastAsia"/>
                <w:noProof/>
                <w:color w:val="auto"/>
                <w:sz w:val="28"/>
                <w:szCs w:val="28"/>
              </w:rPr>
              <w:t>（一）部门预算收支增减变化情况</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_Toc41904200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17</w:t>
            </w:r>
            <w:r w:rsidR="00B27EBE" w:rsidRPr="00463F80">
              <w:rPr>
                <w:rFonts w:ascii="仿宋" w:eastAsia="仿宋" w:hAnsi="仿宋"/>
                <w:noProof/>
                <w:webHidden/>
                <w:sz w:val="28"/>
                <w:szCs w:val="28"/>
              </w:rPr>
              <w:fldChar w:fldCharType="end"/>
            </w:r>
          </w:hyperlink>
        </w:p>
        <w:p w14:paraId="0E7F25FE"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1" w:history="1">
            <w:r w:rsidR="00B27EBE" w:rsidRPr="00463F80">
              <w:rPr>
                <w:rStyle w:val="a8"/>
                <w:rFonts w:ascii="仿宋" w:eastAsia="仿宋" w:hAnsi="仿宋" w:hint="eastAsia"/>
                <w:noProof/>
                <w:color w:val="auto"/>
                <w:sz w:val="28"/>
                <w:szCs w:val="28"/>
              </w:rPr>
              <w:t>（二）</w:t>
            </w:r>
            <w:r w:rsidR="00B27EBE" w:rsidRPr="00463F80">
              <w:rPr>
                <w:rStyle w:val="a8"/>
                <w:rFonts w:ascii="仿宋" w:eastAsia="仿宋" w:hAnsi="仿宋"/>
                <w:noProof/>
                <w:color w:val="auto"/>
                <w:sz w:val="28"/>
                <w:szCs w:val="28"/>
              </w:rPr>
              <w:t>“</w:t>
            </w:r>
            <w:r w:rsidR="00B27EBE" w:rsidRPr="00463F80">
              <w:rPr>
                <w:rStyle w:val="a8"/>
                <w:rFonts w:ascii="仿宋" w:eastAsia="仿宋" w:hAnsi="仿宋" w:hint="eastAsia"/>
                <w:noProof/>
                <w:color w:val="auto"/>
                <w:sz w:val="28"/>
                <w:szCs w:val="28"/>
              </w:rPr>
              <w:t>三公</w:t>
            </w:r>
            <w:r w:rsidR="00B27EBE" w:rsidRPr="00463F80">
              <w:rPr>
                <w:rStyle w:val="a8"/>
                <w:rFonts w:ascii="仿宋" w:eastAsia="仿宋" w:hAnsi="仿宋"/>
                <w:noProof/>
                <w:color w:val="auto"/>
                <w:sz w:val="28"/>
                <w:szCs w:val="28"/>
              </w:rPr>
              <w:t>”</w:t>
            </w:r>
            <w:r w:rsidR="00B27EBE" w:rsidRPr="00463F80">
              <w:rPr>
                <w:rStyle w:val="a8"/>
                <w:rFonts w:ascii="仿宋" w:eastAsia="仿宋" w:hAnsi="仿宋" w:hint="eastAsia"/>
                <w:noProof/>
                <w:color w:val="auto"/>
                <w:sz w:val="28"/>
                <w:szCs w:val="28"/>
              </w:rPr>
              <w:t>经费安排情况说明</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_Toc41904201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17</w:t>
            </w:r>
            <w:r w:rsidR="00B27EBE" w:rsidRPr="00463F80">
              <w:rPr>
                <w:rFonts w:ascii="仿宋" w:eastAsia="仿宋" w:hAnsi="仿宋"/>
                <w:noProof/>
                <w:webHidden/>
                <w:sz w:val="28"/>
                <w:szCs w:val="28"/>
              </w:rPr>
              <w:fldChar w:fldCharType="end"/>
            </w:r>
          </w:hyperlink>
        </w:p>
        <w:p w14:paraId="3EE12E4E"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2" w:history="1">
            <w:r w:rsidR="00B27EBE" w:rsidRPr="00463F80">
              <w:rPr>
                <w:rStyle w:val="a8"/>
                <w:rFonts w:ascii="仿宋" w:eastAsia="仿宋" w:hAnsi="仿宋" w:hint="eastAsia"/>
                <w:noProof/>
                <w:color w:val="auto"/>
                <w:sz w:val="28"/>
                <w:szCs w:val="28"/>
              </w:rPr>
              <w:t>（三）学校运行经费安排情况</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_Toc41904202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18</w:t>
            </w:r>
            <w:r w:rsidR="00B27EBE" w:rsidRPr="00463F80">
              <w:rPr>
                <w:rFonts w:ascii="仿宋" w:eastAsia="仿宋" w:hAnsi="仿宋"/>
                <w:noProof/>
                <w:webHidden/>
                <w:sz w:val="28"/>
                <w:szCs w:val="28"/>
              </w:rPr>
              <w:fldChar w:fldCharType="end"/>
            </w:r>
          </w:hyperlink>
        </w:p>
        <w:p w14:paraId="5FBA468B" w14:textId="77777777" w:rsidR="00B27EBE" w:rsidRPr="00463F80" w:rsidRDefault="0019047D" w:rsidP="0066256F">
          <w:pPr>
            <w:pStyle w:val="20"/>
            <w:adjustRightInd w:val="0"/>
            <w:snapToGrid w:val="0"/>
            <w:spacing w:line="300" w:lineRule="auto"/>
            <w:ind w:firstLine="560"/>
            <w:rPr>
              <w:rFonts w:ascii="仿宋" w:eastAsia="仿宋" w:hAnsi="仿宋"/>
              <w:b/>
            </w:rPr>
          </w:pPr>
          <w:hyperlink w:anchor="_Toc41904203" w:history="1">
            <w:r w:rsidR="00B27EBE" w:rsidRPr="00463F80">
              <w:rPr>
                <w:rStyle w:val="a8"/>
                <w:rFonts w:ascii="仿宋" w:eastAsia="仿宋" w:hAnsi="仿宋" w:hint="eastAsia"/>
                <w:color w:val="auto"/>
              </w:rPr>
              <w:t>二、预算执行情况</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_Toc41904203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18</w:t>
            </w:r>
            <w:r w:rsidR="00B27EBE" w:rsidRPr="00463F80">
              <w:rPr>
                <w:rFonts w:ascii="仿宋" w:eastAsia="仿宋" w:hAnsi="仿宋"/>
                <w:webHidden/>
              </w:rPr>
              <w:fldChar w:fldCharType="end"/>
            </w:r>
          </w:hyperlink>
        </w:p>
        <w:p w14:paraId="08312508"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4" w:history="1">
            <w:r w:rsidR="00B27EBE" w:rsidRPr="00463F80">
              <w:rPr>
                <w:rStyle w:val="a8"/>
                <w:rFonts w:ascii="仿宋" w:eastAsia="仿宋" w:hAnsi="仿宋" w:hint="eastAsia"/>
                <w:noProof/>
                <w:color w:val="auto"/>
                <w:sz w:val="28"/>
                <w:szCs w:val="28"/>
              </w:rPr>
              <w:t>（一）资金管理方面</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_Toc41904204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18</w:t>
            </w:r>
            <w:r w:rsidR="00B27EBE" w:rsidRPr="00463F80">
              <w:rPr>
                <w:rFonts w:ascii="仿宋" w:eastAsia="仿宋" w:hAnsi="仿宋"/>
                <w:noProof/>
                <w:webHidden/>
                <w:sz w:val="28"/>
                <w:szCs w:val="28"/>
              </w:rPr>
              <w:fldChar w:fldCharType="end"/>
            </w:r>
          </w:hyperlink>
        </w:p>
        <w:p w14:paraId="606651E9"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5" w:history="1">
            <w:r w:rsidR="00B27EBE" w:rsidRPr="00463F80">
              <w:rPr>
                <w:rStyle w:val="a8"/>
                <w:rFonts w:ascii="仿宋" w:eastAsia="仿宋" w:hAnsi="仿宋" w:hint="eastAsia"/>
                <w:noProof/>
                <w:color w:val="auto"/>
                <w:sz w:val="28"/>
                <w:szCs w:val="28"/>
              </w:rPr>
              <w:t>（二）项目管理方面</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_Toc41904205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20</w:t>
            </w:r>
            <w:r w:rsidR="00B27EBE" w:rsidRPr="00463F80">
              <w:rPr>
                <w:rFonts w:ascii="仿宋" w:eastAsia="仿宋" w:hAnsi="仿宋"/>
                <w:noProof/>
                <w:webHidden/>
                <w:sz w:val="28"/>
                <w:szCs w:val="28"/>
              </w:rPr>
              <w:fldChar w:fldCharType="end"/>
            </w:r>
          </w:hyperlink>
        </w:p>
        <w:p w14:paraId="506145B7"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6" w:history="1">
            <w:r w:rsidR="00B27EBE" w:rsidRPr="00463F80">
              <w:rPr>
                <w:rStyle w:val="a8"/>
                <w:rFonts w:ascii="仿宋" w:eastAsia="仿宋" w:hAnsi="仿宋" w:hint="eastAsia"/>
                <w:noProof/>
                <w:color w:val="auto"/>
                <w:sz w:val="28"/>
                <w:szCs w:val="28"/>
              </w:rPr>
              <w:t>（三）资产情况分析</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_Toc41904206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21</w:t>
            </w:r>
            <w:r w:rsidR="00B27EBE" w:rsidRPr="00463F80">
              <w:rPr>
                <w:rFonts w:ascii="仿宋" w:eastAsia="仿宋" w:hAnsi="仿宋"/>
                <w:noProof/>
                <w:webHidden/>
                <w:sz w:val="28"/>
                <w:szCs w:val="28"/>
              </w:rPr>
              <w:fldChar w:fldCharType="end"/>
            </w:r>
          </w:hyperlink>
        </w:p>
        <w:p w14:paraId="3EBC50CD" w14:textId="77777777" w:rsidR="00B27EBE" w:rsidRPr="00463F80" w:rsidRDefault="0019047D" w:rsidP="0066256F">
          <w:pPr>
            <w:pStyle w:val="20"/>
            <w:adjustRightInd w:val="0"/>
            <w:snapToGrid w:val="0"/>
            <w:spacing w:line="300" w:lineRule="auto"/>
            <w:ind w:firstLine="560"/>
            <w:rPr>
              <w:rFonts w:ascii="仿宋" w:eastAsia="仿宋" w:hAnsi="仿宋"/>
              <w:b/>
            </w:rPr>
          </w:pPr>
          <w:hyperlink w:anchor="_Toc41904207" w:history="1">
            <w:r w:rsidR="00B27EBE" w:rsidRPr="00463F80">
              <w:rPr>
                <w:rStyle w:val="a8"/>
                <w:rFonts w:ascii="仿宋" w:eastAsia="仿宋" w:hAnsi="仿宋" w:hint="eastAsia"/>
                <w:color w:val="auto"/>
              </w:rPr>
              <w:t>三、预算使用效益</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_Toc41904207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25</w:t>
            </w:r>
            <w:r w:rsidR="00B27EBE" w:rsidRPr="00463F80">
              <w:rPr>
                <w:rFonts w:ascii="仿宋" w:eastAsia="仿宋" w:hAnsi="仿宋"/>
                <w:webHidden/>
              </w:rPr>
              <w:fldChar w:fldCharType="end"/>
            </w:r>
          </w:hyperlink>
        </w:p>
        <w:p w14:paraId="5974A1B6"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8" w:history="1">
            <w:r w:rsidR="00B27EBE" w:rsidRPr="00463F80">
              <w:rPr>
                <w:rStyle w:val="a8"/>
                <w:rFonts w:ascii="仿宋" w:eastAsia="仿宋" w:hAnsi="仿宋" w:hint="eastAsia"/>
                <w:noProof/>
                <w:color w:val="auto"/>
                <w:sz w:val="28"/>
                <w:szCs w:val="28"/>
              </w:rPr>
              <w:t>（一）部门整体绩效目标实现情况</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_Toc41904208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25</w:t>
            </w:r>
            <w:r w:rsidR="00B27EBE" w:rsidRPr="00463F80">
              <w:rPr>
                <w:rFonts w:ascii="仿宋" w:eastAsia="仿宋" w:hAnsi="仿宋"/>
                <w:noProof/>
                <w:webHidden/>
                <w:sz w:val="28"/>
                <w:szCs w:val="28"/>
              </w:rPr>
              <w:fldChar w:fldCharType="end"/>
            </w:r>
          </w:hyperlink>
        </w:p>
        <w:p w14:paraId="6A6CA9C4"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09" w:history="1">
            <w:r w:rsidR="00B27EBE" w:rsidRPr="00463F80">
              <w:rPr>
                <w:rStyle w:val="a8"/>
                <w:rFonts w:ascii="仿宋" w:eastAsia="仿宋" w:hAnsi="仿宋" w:hint="eastAsia"/>
                <w:noProof/>
                <w:color w:val="auto"/>
                <w:sz w:val="28"/>
                <w:szCs w:val="28"/>
              </w:rPr>
              <w:t>（二）部门支出总体绩效指标完成情况</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_Toc41904209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33</w:t>
            </w:r>
            <w:r w:rsidR="00B27EBE" w:rsidRPr="00463F80">
              <w:rPr>
                <w:rFonts w:ascii="仿宋" w:eastAsia="仿宋" w:hAnsi="仿宋"/>
                <w:noProof/>
                <w:webHidden/>
                <w:sz w:val="28"/>
                <w:szCs w:val="28"/>
              </w:rPr>
              <w:fldChar w:fldCharType="end"/>
            </w:r>
          </w:hyperlink>
        </w:p>
        <w:p w14:paraId="65B9BE8F"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10" w:history="1">
            <w:r w:rsidR="00B27EBE" w:rsidRPr="00463F80">
              <w:rPr>
                <w:rStyle w:val="a8"/>
                <w:rFonts w:ascii="仿宋" w:eastAsia="仿宋" w:hAnsi="仿宋" w:hint="eastAsia"/>
                <w:noProof/>
                <w:color w:val="auto"/>
                <w:sz w:val="28"/>
                <w:szCs w:val="28"/>
              </w:rPr>
              <w:t>（三）重点工作完成情况</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_Toc41904210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33</w:t>
            </w:r>
            <w:r w:rsidR="00B27EBE" w:rsidRPr="00463F80">
              <w:rPr>
                <w:rFonts w:ascii="仿宋" w:eastAsia="仿宋" w:hAnsi="仿宋"/>
                <w:noProof/>
                <w:webHidden/>
                <w:sz w:val="28"/>
                <w:szCs w:val="28"/>
              </w:rPr>
              <w:fldChar w:fldCharType="end"/>
            </w:r>
          </w:hyperlink>
        </w:p>
        <w:p w14:paraId="21D0658B" w14:textId="77777777" w:rsidR="00B27EBE" w:rsidRPr="00463F80" w:rsidRDefault="0019047D" w:rsidP="0066256F">
          <w:pPr>
            <w:pStyle w:val="30"/>
            <w:tabs>
              <w:tab w:val="right" w:leader="dot" w:pos="9736"/>
            </w:tabs>
            <w:adjustRightInd w:val="0"/>
            <w:snapToGrid w:val="0"/>
            <w:spacing w:line="300" w:lineRule="auto"/>
            <w:ind w:firstLine="420"/>
            <w:rPr>
              <w:rFonts w:ascii="仿宋" w:eastAsia="仿宋" w:hAnsi="仿宋"/>
              <w:noProof/>
              <w:sz w:val="28"/>
              <w:szCs w:val="28"/>
            </w:rPr>
          </w:pPr>
          <w:hyperlink w:anchor="_Toc41904211" w:history="1">
            <w:r w:rsidR="00B27EBE" w:rsidRPr="00463F80">
              <w:rPr>
                <w:rStyle w:val="a8"/>
                <w:rFonts w:ascii="仿宋" w:eastAsia="仿宋" w:hAnsi="仿宋" w:hint="eastAsia"/>
                <w:noProof/>
                <w:color w:val="auto"/>
                <w:sz w:val="28"/>
                <w:szCs w:val="28"/>
              </w:rPr>
              <w:t>（四）对部门本级支出的经济活动进行成本效益分析</w:t>
            </w:r>
            <w:r w:rsidR="00B27EBE" w:rsidRPr="00463F80">
              <w:rPr>
                <w:rFonts w:ascii="仿宋" w:eastAsia="仿宋" w:hAnsi="仿宋"/>
                <w:noProof/>
                <w:webHidden/>
                <w:sz w:val="28"/>
                <w:szCs w:val="28"/>
              </w:rPr>
              <w:tab/>
            </w:r>
            <w:r w:rsidR="00B27EBE" w:rsidRPr="00463F80">
              <w:rPr>
                <w:rFonts w:ascii="仿宋" w:eastAsia="仿宋" w:hAnsi="仿宋"/>
                <w:noProof/>
                <w:webHidden/>
                <w:sz w:val="28"/>
                <w:szCs w:val="28"/>
              </w:rPr>
              <w:fldChar w:fldCharType="begin"/>
            </w:r>
            <w:r w:rsidR="00B27EBE" w:rsidRPr="00463F80">
              <w:rPr>
                <w:rFonts w:ascii="仿宋" w:eastAsia="仿宋" w:hAnsi="仿宋"/>
                <w:noProof/>
                <w:webHidden/>
                <w:sz w:val="28"/>
                <w:szCs w:val="28"/>
              </w:rPr>
              <w:instrText xml:space="preserve"> PAGEREF _Toc41904211 \h </w:instrText>
            </w:r>
            <w:r w:rsidR="00B27EBE" w:rsidRPr="00463F80">
              <w:rPr>
                <w:rFonts w:ascii="仿宋" w:eastAsia="仿宋" w:hAnsi="仿宋"/>
                <w:noProof/>
                <w:webHidden/>
                <w:sz w:val="28"/>
                <w:szCs w:val="28"/>
              </w:rPr>
            </w:r>
            <w:r w:rsidR="00B27EBE" w:rsidRPr="00463F80">
              <w:rPr>
                <w:rFonts w:ascii="仿宋" w:eastAsia="仿宋" w:hAnsi="仿宋"/>
                <w:noProof/>
                <w:webHidden/>
                <w:sz w:val="28"/>
                <w:szCs w:val="28"/>
              </w:rPr>
              <w:fldChar w:fldCharType="separate"/>
            </w:r>
            <w:r w:rsidR="00463F80" w:rsidRPr="00463F80">
              <w:rPr>
                <w:rFonts w:ascii="仿宋" w:eastAsia="仿宋" w:hAnsi="仿宋"/>
                <w:noProof/>
                <w:webHidden/>
                <w:sz w:val="28"/>
                <w:szCs w:val="28"/>
              </w:rPr>
              <w:t>41</w:t>
            </w:r>
            <w:r w:rsidR="00B27EBE" w:rsidRPr="00463F80">
              <w:rPr>
                <w:rFonts w:ascii="仿宋" w:eastAsia="仿宋" w:hAnsi="仿宋"/>
                <w:noProof/>
                <w:webHidden/>
                <w:sz w:val="28"/>
                <w:szCs w:val="28"/>
              </w:rPr>
              <w:fldChar w:fldCharType="end"/>
            </w:r>
          </w:hyperlink>
        </w:p>
        <w:p w14:paraId="52D4470F" w14:textId="77777777" w:rsidR="00B27EBE" w:rsidRPr="00463F80" w:rsidRDefault="0019047D" w:rsidP="0066256F">
          <w:pPr>
            <w:pStyle w:val="20"/>
            <w:adjustRightInd w:val="0"/>
            <w:snapToGrid w:val="0"/>
            <w:spacing w:line="300" w:lineRule="auto"/>
            <w:ind w:firstLine="560"/>
            <w:rPr>
              <w:rFonts w:ascii="仿宋" w:eastAsia="仿宋" w:hAnsi="仿宋"/>
              <w:b/>
            </w:rPr>
          </w:pPr>
          <w:hyperlink w:anchor="_Toc41904212" w:history="1">
            <w:r w:rsidR="00B27EBE" w:rsidRPr="00463F80">
              <w:rPr>
                <w:rStyle w:val="a8"/>
                <w:rFonts w:ascii="仿宋" w:eastAsia="仿宋" w:hAnsi="仿宋" w:hint="eastAsia"/>
                <w:color w:val="auto"/>
              </w:rPr>
              <w:t>四、部门整体支出绩效管理存在问题及改进意见</w:t>
            </w:r>
            <w:r w:rsidR="00B27EBE" w:rsidRPr="00463F80">
              <w:rPr>
                <w:rFonts w:ascii="仿宋" w:eastAsia="仿宋" w:hAnsi="仿宋"/>
                <w:webHidden/>
              </w:rPr>
              <w:tab/>
            </w:r>
            <w:r w:rsidR="00B27EBE" w:rsidRPr="00463F80">
              <w:rPr>
                <w:rFonts w:ascii="仿宋" w:eastAsia="仿宋" w:hAnsi="仿宋"/>
                <w:webHidden/>
              </w:rPr>
              <w:fldChar w:fldCharType="begin"/>
            </w:r>
            <w:r w:rsidR="00B27EBE" w:rsidRPr="00463F80">
              <w:rPr>
                <w:rFonts w:ascii="仿宋" w:eastAsia="仿宋" w:hAnsi="仿宋"/>
                <w:webHidden/>
              </w:rPr>
              <w:instrText xml:space="preserve"> PAGEREF _Toc41904212 \h </w:instrText>
            </w:r>
            <w:r w:rsidR="00B27EBE" w:rsidRPr="00463F80">
              <w:rPr>
                <w:rFonts w:ascii="仿宋" w:eastAsia="仿宋" w:hAnsi="仿宋"/>
                <w:webHidden/>
              </w:rPr>
            </w:r>
            <w:r w:rsidR="00B27EBE" w:rsidRPr="00463F80">
              <w:rPr>
                <w:rFonts w:ascii="仿宋" w:eastAsia="仿宋" w:hAnsi="仿宋"/>
                <w:webHidden/>
              </w:rPr>
              <w:fldChar w:fldCharType="separate"/>
            </w:r>
            <w:r w:rsidR="00463F80" w:rsidRPr="00463F80">
              <w:rPr>
                <w:rFonts w:ascii="仿宋" w:eastAsia="仿宋" w:hAnsi="仿宋"/>
                <w:webHidden/>
              </w:rPr>
              <w:t>46</w:t>
            </w:r>
            <w:r w:rsidR="00B27EBE" w:rsidRPr="00463F80">
              <w:rPr>
                <w:rFonts w:ascii="仿宋" w:eastAsia="仿宋" w:hAnsi="仿宋"/>
                <w:webHidden/>
              </w:rPr>
              <w:fldChar w:fldCharType="end"/>
            </w:r>
          </w:hyperlink>
        </w:p>
        <w:p w14:paraId="4BC6963F" w14:textId="699F86B8" w:rsidR="009D7A67" w:rsidRPr="00463F80" w:rsidRDefault="009D7A67" w:rsidP="0066256F">
          <w:pPr>
            <w:spacing w:line="300" w:lineRule="auto"/>
            <w:ind w:firstLine="562"/>
          </w:pPr>
          <w:r w:rsidRPr="00463F80">
            <w:rPr>
              <w:b/>
              <w:bCs/>
              <w:sz w:val="28"/>
              <w:szCs w:val="28"/>
              <w:lang w:val="zh-CN"/>
            </w:rPr>
            <w:fldChar w:fldCharType="end"/>
          </w:r>
        </w:p>
      </w:sdtContent>
    </w:sdt>
    <w:p w14:paraId="638BBF4B" w14:textId="77777777" w:rsidR="00B27EBE" w:rsidRPr="00463F80" w:rsidRDefault="00B27EBE" w:rsidP="0066256F">
      <w:pPr>
        <w:ind w:firstLine="420"/>
        <w:jc w:val="left"/>
        <w:rPr>
          <w:rFonts w:eastAsia="黑体"/>
          <w:b/>
          <w:bCs/>
          <w:kern w:val="44"/>
          <w:sz w:val="44"/>
          <w:szCs w:val="44"/>
        </w:rPr>
      </w:pPr>
      <w:r w:rsidRPr="00463F80">
        <w:br w:type="page"/>
      </w:r>
    </w:p>
    <w:p w14:paraId="5FB900A6" w14:textId="5CCA9A3B" w:rsidR="009311DC" w:rsidRPr="00463F80" w:rsidRDefault="009311DC" w:rsidP="0066256F">
      <w:pPr>
        <w:pStyle w:val="1"/>
        <w:ind w:firstLine="883"/>
      </w:pPr>
      <w:bookmarkStart w:id="1" w:name="_Toc41904189"/>
      <w:r w:rsidRPr="00463F80">
        <w:rPr>
          <w:rFonts w:hint="eastAsia"/>
        </w:rPr>
        <w:lastRenderedPageBreak/>
        <w:t>第一部分</w:t>
      </w:r>
      <w:r w:rsidRPr="00463F80">
        <w:rPr>
          <w:rFonts w:hint="eastAsia"/>
        </w:rPr>
        <w:t xml:space="preserve"> </w:t>
      </w:r>
      <w:r w:rsidR="0043517D" w:rsidRPr="00463F80">
        <w:t>部门基本情况</w:t>
      </w:r>
      <w:bookmarkEnd w:id="1"/>
    </w:p>
    <w:p w14:paraId="6410547D" w14:textId="4F0E4A54" w:rsidR="0048780F" w:rsidRPr="00463F80" w:rsidRDefault="009311DC" w:rsidP="00D47F5A">
      <w:pPr>
        <w:pStyle w:val="2"/>
        <w:ind w:firstLine="643"/>
        <w:rPr>
          <w:rFonts w:ascii="黑体" w:hAnsi="黑体"/>
        </w:rPr>
      </w:pPr>
      <w:bookmarkStart w:id="2" w:name="_Toc41904190"/>
      <w:r w:rsidRPr="00463F80">
        <w:rPr>
          <w:rFonts w:hint="eastAsia"/>
        </w:rPr>
        <w:t>一、</w:t>
      </w:r>
      <w:r w:rsidR="0043517D" w:rsidRPr="00463F80">
        <w:t>部门职能</w:t>
      </w:r>
      <w:bookmarkEnd w:id="2"/>
    </w:p>
    <w:p w14:paraId="618632B9" w14:textId="6F262F89" w:rsidR="0048780F" w:rsidRPr="00463F80" w:rsidRDefault="0043517D" w:rsidP="009C7A21">
      <w:pPr>
        <w:spacing w:line="480" w:lineRule="auto"/>
        <w:ind w:firstLine="640"/>
        <w:rPr>
          <w:rFonts w:ascii="仿宋_GB2312" w:eastAsia="仿宋_GB2312" w:hAnsi="仿宋_GB2312"/>
          <w:sz w:val="32"/>
          <w:szCs w:val="32"/>
        </w:rPr>
      </w:pPr>
      <w:r w:rsidRPr="00463F80">
        <w:rPr>
          <w:rFonts w:ascii="仿宋_GB2312" w:eastAsia="仿宋_GB2312" w:hAnsi="仿宋_GB2312"/>
          <w:sz w:val="32"/>
          <w:szCs w:val="32"/>
        </w:rPr>
        <w:t>广东工贸职业技术学院是广东省人民政府直属的全日制普通高等职业院校，是教育部、财政部“中国特色高水平高职学校和专业建设计划”建设单位。近5年来先后被确定为广东省示范性高职院校、广东省一流高职院校建设单位、全国职业院校数字校园建设实验校、广东省示范性职业教育集团建设单位、全国高等职业院校体育工作成果暨“一校一品”体育工作示范基地，连续两届获“广东省安全文明校园”称号，并于2019年入选教育部职业教育走出去试点项目高校（13所之一）和 “2019亚太职业院校影响力50强”。</w:t>
      </w:r>
    </w:p>
    <w:p w14:paraId="7454D1F3" w14:textId="77777777" w:rsidR="0048780F" w:rsidRPr="00463F80" w:rsidRDefault="0043517D" w:rsidP="009C7A21">
      <w:pPr>
        <w:spacing w:line="480" w:lineRule="auto"/>
        <w:ind w:firstLine="640"/>
        <w:rPr>
          <w:rFonts w:ascii="仿宋_GB2312" w:eastAsia="仿宋_GB2312" w:hAnsi="仿宋_GB2312"/>
          <w:sz w:val="32"/>
          <w:szCs w:val="32"/>
        </w:rPr>
      </w:pPr>
      <w:r w:rsidRPr="00463F80">
        <w:rPr>
          <w:rFonts w:ascii="仿宋_GB2312" w:eastAsia="仿宋_GB2312" w:hAnsi="仿宋_GB2312"/>
          <w:sz w:val="32"/>
          <w:szCs w:val="32"/>
        </w:rPr>
        <w:t>学校坚持党的领导，坚持社会主义办学方向，以习近平新时代中国特色社会主义思想为指导，贯彻党和国家的教育方针，坚持立德树人根本任务，全面推进素质教育，以人才培养、科学研究、社会服务、文化传承创新为基本职能，实施高等职业教育，开展继续教育、技术技能培训、对外合作办学，培养具有良好道德素养、职业操守，具有创新精神、实践能力，基础扎实、技术精良，能全面适应现代社会发展需求的技术技能型人才。</w:t>
      </w:r>
    </w:p>
    <w:p w14:paraId="06C03712" w14:textId="77777777" w:rsidR="00F667C2" w:rsidRPr="00463F80" w:rsidRDefault="00F667C2" w:rsidP="00F667C2">
      <w:pPr>
        <w:ind w:firstLine="640"/>
        <w:rPr>
          <w:rFonts w:ascii="仿宋_GB2312" w:eastAsia="仿宋_GB2312"/>
          <w:sz w:val="32"/>
          <w:szCs w:val="32"/>
        </w:rPr>
      </w:pPr>
      <w:r w:rsidRPr="00463F80">
        <w:rPr>
          <w:rFonts w:ascii="仿宋_GB2312" w:eastAsia="仿宋_GB2312" w:hint="eastAsia"/>
          <w:sz w:val="32"/>
          <w:szCs w:val="32"/>
        </w:rPr>
        <w:t>学校现有全日制在校生16000多人。学校秉承“寻真求是，格物致知”的校训精神，聚焦国家发展战略，服务粤港澳大湾区，锐意创新，开拓进取，不断推动高等职业教育工作再上新台阶，培养德智体美劳全面发展的社会主义建设者和接班人。</w:t>
      </w:r>
    </w:p>
    <w:p w14:paraId="750742F2" w14:textId="3DFE00AB" w:rsidR="0048780F" w:rsidRPr="00463F80" w:rsidRDefault="009311DC" w:rsidP="00D47F5A">
      <w:pPr>
        <w:pStyle w:val="2"/>
        <w:ind w:firstLine="643"/>
      </w:pPr>
      <w:bookmarkStart w:id="3" w:name="_Toc41904191"/>
      <w:r w:rsidRPr="00463F80">
        <w:rPr>
          <w:rFonts w:hint="eastAsia"/>
        </w:rPr>
        <w:lastRenderedPageBreak/>
        <w:t>二、</w:t>
      </w:r>
      <w:r w:rsidR="0043517D" w:rsidRPr="00463F80">
        <w:t>年度总体工作和重点工作任务</w:t>
      </w:r>
      <w:bookmarkEnd w:id="3"/>
    </w:p>
    <w:p w14:paraId="057EBBB1" w14:textId="5A13E642" w:rsidR="00111E23" w:rsidRPr="00463F80" w:rsidRDefault="0043517D" w:rsidP="009C7A21">
      <w:pPr>
        <w:spacing w:line="480" w:lineRule="auto"/>
        <w:ind w:firstLine="640"/>
        <w:rPr>
          <w:rFonts w:ascii="仿宋_GB2312" w:eastAsia="仿宋_GB2312" w:hAnsi="仿宋_GB2312"/>
          <w:sz w:val="32"/>
          <w:szCs w:val="32"/>
        </w:rPr>
      </w:pPr>
      <w:r w:rsidRPr="00463F80">
        <w:rPr>
          <w:rFonts w:ascii="仿宋_GB2312" w:eastAsia="仿宋_GB2312" w:hAnsi="仿宋_GB2312"/>
          <w:sz w:val="32"/>
          <w:szCs w:val="32"/>
        </w:rPr>
        <w:t>2019年，在省委、省政府的关心支持下，在省委教育工委、省教育厅的直接领导下，学校以习近平新时代中国特色社会主义思想为指导，全面贯彻落实全国教育大会、全国高校思想政治工作会议精神，贯彻落实党的教育方针政策，不断加强学校党委对学校工作的全面领导，扎实开展“不忘初心、牢记使命”主题教育，以立德树人为根本任务，按照五大发展理念，创新“党建+”工作机制，带领全体教职员工，勠力同心，锐意创新，努力培养德智体美劳全面发展的社会主义建设者和接班人。</w:t>
      </w:r>
    </w:p>
    <w:p w14:paraId="26FA9820" w14:textId="6F4EDBE2" w:rsidR="00CF6603" w:rsidRPr="00463F80" w:rsidRDefault="00583A51" w:rsidP="009C7A21">
      <w:pPr>
        <w:spacing w:line="480" w:lineRule="auto"/>
        <w:ind w:firstLine="640"/>
        <w:rPr>
          <w:rFonts w:ascii="仿宋_GB2312" w:eastAsia="仿宋_GB2312" w:hAnsi="仿宋_GB2312"/>
          <w:sz w:val="32"/>
          <w:szCs w:val="32"/>
        </w:rPr>
      </w:pPr>
      <w:r w:rsidRPr="00463F80">
        <w:rPr>
          <w:rFonts w:ascii="仿宋_GB2312" w:eastAsia="仿宋_GB2312" w:hAnsi="仿宋_GB2312"/>
          <w:sz w:val="32"/>
          <w:szCs w:val="32"/>
        </w:rPr>
        <w:t>学校</w:t>
      </w:r>
      <w:r w:rsidRPr="00463F80">
        <w:rPr>
          <w:rFonts w:ascii="仿宋_GB2312" w:eastAsia="仿宋_GB2312" w:hAnsi="仿宋_GB2312" w:hint="eastAsia"/>
          <w:sz w:val="32"/>
          <w:szCs w:val="32"/>
        </w:rPr>
        <w:t>2019</w:t>
      </w:r>
      <w:r w:rsidRPr="00463F80">
        <w:rPr>
          <w:rFonts w:ascii="仿宋_GB2312" w:eastAsia="仿宋_GB2312" w:hAnsi="仿宋_GB2312"/>
          <w:sz w:val="32"/>
          <w:szCs w:val="32"/>
        </w:rPr>
        <w:t>年度的工作紧紧围绕</w:t>
      </w:r>
      <w:r w:rsidRPr="00463F80">
        <w:rPr>
          <w:rFonts w:ascii="仿宋_GB2312" w:eastAsia="仿宋_GB2312" w:hAnsi="仿宋_GB2312" w:hint="eastAsia"/>
          <w:sz w:val="32"/>
          <w:szCs w:val="32"/>
        </w:rPr>
        <w:t>《中共广东工贸职业技术学院委员会 广东工贸职业技术学院2019年工作要点》(粤工贸院党字〔2019〕20号)开展，圆满完成共十一点41条的工作要点内容。</w:t>
      </w:r>
    </w:p>
    <w:p w14:paraId="2FEAE106" w14:textId="33923150" w:rsidR="00AE11AF" w:rsidRPr="00463F80" w:rsidRDefault="00B27EBE" w:rsidP="00B27EBE">
      <w:pPr>
        <w:pStyle w:val="3"/>
        <w:ind w:firstLine="643"/>
      </w:pPr>
      <w:bookmarkStart w:id="4" w:name="_Toc41904192"/>
      <w:r w:rsidRPr="00463F80">
        <w:rPr>
          <w:rFonts w:hint="eastAsia"/>
        </w:rPr>
        <w:t>（一）年度总体</w:t>
      </w:r>
      <w:r w:rsidR="00AE11AF" w:rsidRPr="00463F80">
        <w:t>工作任务</w:t>
      </w:r>
      <w:bookmarkEnd w:id="4"/>
    </w:p>
    <w:p w14:paraId="10285935" w14:textId="77777777" w:rsidR="0066256F" w:rsidRPr="00463F80" w:rsidRDefault="0066256F"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1.习近平新时代中国特色社会主义思想和习近平总书记视察广东重要讲话精神，坚持和加强党委对学校一切工作的全面领导</w:t>
      </w:r>
    </w:p>
    <w:p w14:paraId="76F30664" w14:textId="77777777" w:rsidR="0066256F" w:rsidRPr="00463F80" w:rsidRDefault="0066256F" w:rsidP="0066256F">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学懂弄通做实习近平新时代中国特色社会主义思想和习近平总书记视察广东重要讲话精神的学习宣传贯彻工作。落实立德树人根本任务，加强师生思想政治工作。笃行做实党建工作，全面提升党组织凝聚力和战斗力。进一步健全和完善干部考核制度，激发干部干事积极性，营造干部敢于担当勇于作为的工作环境，提高干部执行力。坚持不懈抓纪律促作风，进一步加强纪委建设。贯彻落实中央八项规定精神及其实施细则要求，落实好学校有关实施细则。加强群团统战和老干工作，充分发挥桥梁纽带作用。坚持党对工会工作的领导，加强“双代会”制度建设，发挥好工会参与学校教育事业发展的积极作用。健全师德建设长效机制，狠抓师德师风建设。贯彻落实新时代教师职业行为十项准则和学校《教师师德规范》，在教师招聘、选拔任用、考核评优、职称评审、人才推荐等全过程落实师德师风一票否决制。</w:t>
      </w:r>
    </w:p>
    <w:p w14:paraId="644916BF" w14:textId="77777777" w:rsidR="0066256F" w:rsidRPr="00463F80" w:rsidRDefault="0066256F"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2.防范化解风险，持之以恒维护学校政治安全和意识形态安全</w:t>
      </w:r>
    </w:p>
    <w:p w14:paraId="62FA974B" w14:textId="77777777" w:rsidR="0066256F" w:rsidRPr="00463F80" w:rsidRDefault="0066256F" w:rsidP="0066256F">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加强管理防范风险，确保政治安全和意识形态安全。落实“一个理念”、“三个机制”、“七项制度”“六项责任制”“七类防范重点”工作体系，制定并实施学校《2019年政治安全、意识形态安全专项工作方案》、《2019年防范抵御敌对势力渗透专项行动实施方案》，切实加强各类意识形态领域阵地管理，加强安全风险险急排查，牢牢掌握学校政治安全、意识形态安全领导权、管理权、主动权。加强安全演练，防患未然，着力增强学校干部和师生政治安全、意识形态安全意识。严守政治责任，签订工作责任书，明确“第一责任”、“党政同责”、“一岗双责”，层层传导，压实责任。定期召开政治安全、意识形态安全分析研判会，防患化解重大风险，确保校园安全稳定。</w:t>
      </w:r>
    </w:p>
    <w:p w14:paraId="428B0664" w14:textId="3F567C6F" w:rsidR="0066256F" w:rsidRPr="00463F80" w:rsidRDefault="0066256F"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3.落实国家职教改革方案,推进教育教学改革</w:t>
      </w:r>
    </w:p>
    <w:p w14:paraId="6DA75365" w14:textId="0766DDB7" w:rsidR="0066256F" w:rsidRPr="00463F80" w:rsidRDefault="00064E1D" w:rsidP="0066256F">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落实《广东省职业教育“扩容、提质、强服务”三年行动计划（2019-2021年）》工作任务，</w:t>
      </w:r>
      <w:r w:rsidR="0066256F" w:rsidRPr="00463F80">
        <w:rPr>
          <w:rFonts w:ascii="仿宋_GB2312" w:eastAsia="仿宋_GB2312" w:hAnsi="宋体" w:cs="Times New Roman" w:hint="eastAsia"/>
          <w:sz w:val="32"/>
          <w:szCs w:val="32"/>
        </w:rPr>
        <w:t>启动</w:t>
      </w:r>
      <w:r w:rsidRPr="00463F80">
        <w:rPr>
          <w:rFonts w:ascii="仿宋_GB2312" w:eastAsia="仿宋_GB2312" w:hAnsi="宋体" w:cs="Times New Roman" w:hint="eastAsia"/>
          <w:sz w:val="32"/>
          <w:szCs w:val="32"/>
        </w:rPr>
        <w:t>学校</w:t>
      </w:r>
      <w:r w:rsidR="0066256F" w:rsidRPr="00463F80">
        <w:rPr>
          <w:rFonts w:ascii="仿宋_GB2312" w:eastAsia="仿宋_GB2312" w:hAnsi="宋体" w:cs="Times New Roman" w:hint="eastAsia"/>
          <w:sz w:val="32"/>
          <w:szCs w:val="32"/>
        </w:rPr>
        <w:t>“扩容、提质、强服务”建设规划</w:t>
      </w:r>
      <w:r w:rsidRPr="00463F80">
        <w:rPr>
          <w:rFonts w:ascii="仿宋_GB2312" w:eastAsia="仿宋_GB2312" w:hAnsi="宋体" w:cs="Times New Roman" w:hint="eastAsia"/>
          <w:sz w:val="32"/>
          <w:szCs w:val="32"/>
        </w:rPr>
        <w:t>，</w:t>
      </w:r>
      <w:r w:rsidR="0066256F" w:rsidRPr="00463F80">
        <w:rPr>
          <w:rFonts w:ascii="仿宋_GB2312" w:eastAsia="仿宋_GB2312" w:hAnsi="宋体" w:cs="Times New Roman" w:hint="eastAsia"/>
          <w:sz w:val="32"/>
          <w:szCs w:val="32"/>
        </w:rPr>
        <w:t xml:space="preserve">制定学校《提高高等教育毛入学率基建项目规划建设方案（2019-2021年）》，启动《规划》第一期建设（一栋23800 </w:t>
      </w:r>
      <w:r w:rsidR="0054252C" w:rsidRPr="00463F80">
        <w:rPr>
          <w:rFonts w:ascii="仿宋_GB2312" w:eastAsia="仿宋_GB2312" w:hAnsi="宋体" w:cs="Times New Roman" w:hint="eastAsia"/>
          <w:sz w:val="32"/>
          <w:szCs w:val="32"/>
        </w:rPr>
        <w:t>㎡</w:t>
      </w:r>
      <w:r w:rsidR="0066256F" w:rsidRPr="00463F80">
        <w:rPr>
          <w:rFonts w:ascii="仿宋_GB2312" w:eastAsia="仿宋_GB2312" w:hAnsi="宋体" w:cs="Times New Roman" w:hint="eastAsia"/>
          <w:sz w:val="32"/>
          <w:szCs w:val="32"/>
        </w:rPr>
        <w:t xml:space="preserve">学生宿舍、一栋38000 </w:t>
      </w:r>
      <w:r w:rsidR="0054252C" w:rsidRPr="00463F80">
        <w:rPr>
          <w:rFonts w:ascii="仿宋_GB2312" w:eastAsia="仿宋_GB2312" w:hAnsi="宋体" w:cs="Times New Roman" w:hint="eastAsia"/>
          <w:sz w:val="32"/>
          <w:szCs w:val="32"/>
        </w:rPr>
        <w:t>m2㎡</w:t>
      </w:r>
      <w:r w:rsidR="0066256F" w:rsidRPr="00463F80">
        <w:rPr>
          <w:rFonts w:ascii="仿宋_GB2312" w:eastAsia="仿宋_GB2312" w:hAnsi="宋体" w:cs="Times New Roman" w:hint="eastAsia"/>
          <w:sz w:val="32"/>
          <w:szCs w:val="32"/>
        </w:rPr>
        <w:t>图书信息综合楼）。加大人才培养模式的创新改革力度。深入推进混合式教学模式改革。实施分配制度改革和继续开展好职称自主评审工作。加强专业和专业群建设，打造一批高水平专业和特色专业群。深化试点学分制改革。推动产业学院建设，搭建双精准育人平台。加大质量工程与教改项目的培育与建设。做好职业技能大赛承办和参赛工作及教师能力大赛工作。规范和加强实训基地建设和管理。优化学校内部质量管理与评估体系工作。深入推进依法治教，进一步规范学校财务、资产管理。</w:t>
      </w:r>
      <w:bookmarkStart w:id="5" w:name="_Toc41904193"/>
    </w:p>
    <w:p w14:paraId="265C020A" w14:textId="16092204" w:rsidR="0066256F" w:rsidRPr="00463F80" w:rsidRDefault="0066256F" w:rsidP="00F667C2">
      <w:pPr>
        <w:spacing w:line="560" w:lineRule="exact"/>
        <w:ind w:firstLineChars="300" w:firstLine="632"/>
        <w:outlineLvl w:val="0"/>
        <w:rPr>
          <w:rFonts w:ascii="仿宋" w:eastAsia="仿宋" w:hAnsi="仿宋" w:cs="Times New Roman"/>
          <w:b/>
          <w:sz w:val="32"/>
          <w:szCs w:val="32"/>
        </w:rPr>
      </w:pPr>
      <w:r w:rsidRPr="00463F80">
        <w:rPr>
          <w:rFonts w:hint="eastAsia"/>
          <w:b/>
        </w:rPr>
        <w:t xml:space="preserve"> </w:t>
      </w:r>
      <w:r w:rsidR="0054252C" w:rsidRPr="00463F80">
        <w:rPr>
          <w:rFonts w:ascii="仿宋_GB2312" w:eastAsia="仿宋_GB2312" w:hAnsi="宋体" w:cs="Times New Roman" w:hint="eastAsia"/>
          <w:b/>
          <w:bCs/>
          <w:sz w:val="32"/>
          <w:szCs w:val="32"/>
        </w:rPr>
        <w:t>4</w:t>
      </w:r>
      <w:r w:rsidRPr="00463F80">
        <w:rPr>
          <w:rFonts w:ascii="仿宋_GB2312" w:eastAsia="仿宋_GB2312" w:hAnsi="宋体" w:cs="Times New Roman" w:hint="eastAsia"/>
          <w:b/>
          <w:bCs/>
          <w:sz w:val="32"/>
          <w:szCs w:val="32"/>
        </w:rPr>
        <w:t>.</w:t>
      </w:r>
      <w:r w:rsidRPr="00463F80">
        <w:rPr>
          <w:rFonts w:ascii="仿宋" w:eastAsia="仿宋" w:hAnsi="仿宋" w:cs="Times New Roman" w:hint="eastAsia"/>
          <w:b/>
          <w:sz w:val="32"/>
          <w:szCs w:val="32"/>
        </w:rPr>
        <w:t>强力推进创新强校工程和一流院校建设，组织好优质校和特高校（专业群）申报工作</w:t>
      </w:r>
    </w:p>
    <w:p w14:paraId="7A6E39EE" w14:textId="4C6702EB" w:rsidR="0066256F" w:rsidRPr="00463F80" w:rsidRDefault="0066256F" w:rsidP="0066256F">
      <w:pPr>
        <w:spacing w:line="560" w:lineRule="exact"/>
        <w:ind w:firstLine="640"/>
        <w:outlineLvl w:val="0"/>
        <w:rPr>
          <w:rFonts w:ascii="仿宋" w:eastAsia="仿宋" w:hAnsi="仿宋" w:cs="Times New Roman"/>
          <w:sz w:val="32"/>
          <w:szCs w:val="32"/>
        </w:rPr>
      </w:pPr>
      <w:r w:rsidRPr="00463F80">
        <w:rPr>
          <w:rFonts w:ascii="仿宋" w:eastAsia="仿宋" w:hAnsi="仿宋" w:cs="Times New Roman" w:hint="eastAsia"/>
          <w:sz w:val="32"/>
          <w:szCs w:val="32"/>
        </w:rPr>
        <w:t>加强项目统筹推进力度，确保落地见效；对照项目的完成情况，将项目建设与人才培养紧密结合，全面提升项目的使用绩效，强化“一流校”建设绩校考核；继续开展2019 年度项目申报、遴选及项目入库工作，保证各项目建设及标志性成果按期完成。组织好优质校和“特高”校（专业群）申报工作，力争</w:t>
      </w:r>
      <w:r w:rsidR="0054252C" w:rsidRPr="00463F80">
        <w:rPr>
          <w:rFonts w:ascii="仿宋" w:eastAsia="仿宋" w:hAnsi="仿宋" w:cs="Times New Roman" w:hint="eastAsia"/>
          <w:sz w:val="32"/>
          <w:szCs w:val="32"/>
        </w:rPr>
        <w:t>完成</w:t>
      </w:r>
      <w:r w:rsidRPr="00463F80">
        <w:rPr>
          <w:rFonts w:ascii="仿宋" w:eastAsia="仿宋" w:hAnsi="仿宋" w:cs="Times New Roman" w:hint="eastAsia"/>
          <w:sz w:val="32"/>
          <w:szCs w:val="32"/>
        </w:rPr>
        <w:t>优质校</w:t>
      </w:r>
      <w:r w:rsidR="0054252C" w:rsidRPr="00463F80">
        <w:rPr>
          <w:rFonts w:ascii="仿宋" w:eastAsia="仿宋" w:hAnsi="仿宋" w:cs="Times New Roman" w:hint="eastAsia"/>
          <w:sz w:val="32"/>
          <w:szCs w:val="32"/>
        </w:rPr>
        <w:t>2019年度工作任务</w:t>
      </w:r>
      <w:r w:rsidRPr="00463F80">
        <w:rPr>
          <w:rFonts w:ascii="仿宋" w:eastAsia="仿宋" w:hAnsi="仿宋" w:cs="Times New Roman" w:hint="eastAsia"/>
          <w:sz w:val="32"/>
          <w:szCs w:val="32"/>
        </w:rPr>
        <w:t>和入选</w:t>
      </w:r>
      <w:r w:rsidR="0054252C" w:rsidRPr="00463F80">
        <w:rPr>
          <w:rFonts w:ascii="仿宋" w:eastAsia="仿宋" w:hAnsi="仿宋" w:cs="Times New Roman" w:hint="eastAsia"/>
          <w:sz w:val="32"/>
          <w:szCs w:val="32"/>
        </w:rPr>
        <w:t xml:space="preserve"> </w:t>
      </w:r>
      <w:r w:rsidRPr="00463F80">
        <w:rPr>
          <w:rFonts w:ascii="仿宋" w:eastAsia="仿宋" w:hAnsi="仿宋" w:cs="Times New Roman" w:hint="eastAsia"/>
          <w:sz w:val="32"/>
          <w:szCs w:val="32"/>
        </w:rPr>
        <w:t>“特高”校（专业群）</w:t>
      </w:r>
      <w:r w:rsidR="0054252C" w:rsidRPr="00463F80">
        <w:rPr>
          <w:rFonts w:ascii="仿宋" w:eastAsia="仿宋" w:hAnsi="仿宋" w:cs="Times New Roman" w:hint="eastAsia"/>
          <w:sz w:val="32"/>
          <w:szCs w:val="32"/>
        </w:rPr>
        <w:t>建设</w:t>
      </w:r>
      <w:r w:rsidRPr="00463F80">
        <w:rPr>
          <w:rFonts w:ascii="仿宋" w:eastAsia="仿宋" w:hAnsi="仿宋" w:cs="Times New Roman" w:hint="eastAsia"/>
          <w:sz w:val="32"/>
          <w:szCs w:val="32"/>
        </w:rPr>
        <w:t>行列。</w:t>
      </w:r>
    </w:p>
    <w:p w14:paraId="23F6BE93" w14:textId="26656862" w:rsidR="0054252C" w:rsidRPr="00463F80" w:rsidRDefault="0054252C" w:rsidP="00F667C2">
      <w:pPr>
        <w:spacing w:line="560" w:lineRule="exact"/>
        <w:ind w:firstLine="643"/>
        <w:outlineLvl w:val="0"/>
        <w:rPr>
          <w:rFonts w:ascii="仿宋" w:eastAsia="仿宋" w:hAnsi="仿宋" w:cs="Times New Roman"/>
          <w:b/>
          <w:sz w:val="32"/>
          <w:szCs w:val="32"/>
        </w:rPr>
      </w:pPr>
      <w:r w:rsidRPr="00463F80">
        <w:rPr>
          <w:rFonts w:ascii="仿宋" w:eastAsia="仿宋" w:hAnsi="仿宋" w:cs="Times New Roman" w:hint="eastAsia"/>
          <w:b/>
          <w:sz w:val="32"/>
          <w:szCs w:val="32"/>
        </w:rPr>
        <w:t>5.做好新一轮帮扶工作交接，积极推进精准扶贫工作</w:t>
      </w:r>
    </w:p>
    <w:p w14:paraId="4BF9E49E" w14:textId="1B6238B8" w:rsidR="0054252C" w:rsidRPr="00463F80" w:rsidRDefault="0054252C" w:rsidP="0054252C">
      <w:pPr>
        <w:spacing w:line="560" w:lineRule="exact"/>
        <w:ind w:firstLine="640"/>
        <w:outlineLvl w:val="0"/>
        <w:rPr>
          <w:rFonts w:ascii="仿宋" w:eastAsia="仿宋" w:hAnsi="仿宋" w:cs="Times New Roman"/>
          <w:sz w:val="32"/>
          <w:szCs w:val="32"/>
        </w:rPr>
      </w:pPr>
      <w:r w:rsidRPr="00463F80">
        <w:rPr>
          <w:rFonts w:ascii="仿宋" w:eastAsia="仿宋" w:hAnsi="仿宋" w:cs="Times New Roman" w:hint="eastAsia"/>
          <w:sz w:val="32"/>
          <w:szCs w:val="32"/>
        </w:rPr>
        <w:t>继续推进精准扶贫工作。把脱贫攻坚作为重大政治任务来抓，做好驻村第一书记期满轮换工作的交接，举全校之力，“政校行企”协同助力，尽锐出战精准发力，多元化立体式精准帮扶。进一步优化精准扶贫举措和机制，巩固和深化脱贫攻坚成果，深入实施乡村振兴战略，在发展特色农业增值增效、田园生态旅游产业有新突破，在实施“党建+”、“互联网+”有新成效，在加快补齐农村基础设施和公共服务短板有新举措，在建设美丽乡村、提升乡村文明有新成就，在实现农村农业现代化征程上迈出新步伐，圆满完成好三年脱贫攻坚任务。</w:t>
      </w:r>
    </w:p>
    <w:p w14:paraId="657F785D" w14:textId="39EF3193" w:rsidR="00AE11AF" w:rsidRPr="00463F80" w:rsidRDefault="00AE11AF" w:rsidP="00AE11AF">
      <w:pPr>
        <w:pStyle w:val="3"/>
        <w:ind w:firstLine="643"/>
      </w:pPr>
      <w:r w:rsidRPr="00463F80">
        <w:rPr>
          <w:rFonts w:hint="eastAsia"/>
        </w:rPr>
        <w:t>（二）年度重点</w:t>
      </w:r>
      <w:r w:rsidRPr="00463F80">
        <w:t>工作任务</w:t>
      </w:r>
      <w:bookmarkEnd w:id="5"/>
    </w:p>
    <w:p w14:paraId="2F1A62B7" w14:textId="55220123" w:rsidR="005620D0" w:rsidRPr="00463F80" w:rsidRDefault="0054252C"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1</w:t>
      </w:r>
      <w:r w:rsidR="005620D0" w:rsidRPr="00463F80">
        <w:rPr>
          <w:rFonts w:ascii="仿宋_GB2312" w:eastAsia="仿宋_GB2312" w:hAnsi="宋体" w:cs="Times New Roman" w:hint="eastAsia"/>
          <w:b/>
          <w:sz w:val="32"/>
          <w:szCs w:val="32"/>
        </w:rPr>
        <w:t>.大力推进“强师工程”，引培优秀人才</w:t>
      </w:r>
    </w:p>
    <w:p w14:paraId="2249BFCE" w14:textId="77777777" w:rsidR="005620D0" w:rsidRPr="00463F80" w:rsidRDefault="005620D0" w:rsidP="005620D0">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实施教师素质提升计划。建设实验教师队伍，加强对校内名师名匠的培育，做好2019年珠江学者、广东省特支计划、省级教学名师等人才项目申报的准备工作。推进教师发展中心建设，开展教职员工职业生涯发展规划服务，开设“传帮带”工作坊和匠心养成训练营，落实5年一周期的全员轮训制度。立项培育校级、省级教师教学创新团队。加大高层次人才引进力度并做好配套工作。落实学校《高层次人才引进（特别资助）管理暂行办法》。科学合理规划2019年教师招聘计划，改革公开招聘方式，大力引进能工巧匠和其他高层次人才。</w:t>
      </w:r>
    </w:p>
    <w:p w14:paraId="024FF398" w14:textId="51589E65" w:rsidR="005620D0" w:rsidRPr="00463F80" w:rsidRDefault="0054252C"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2</w:t>
      </w:r>
      <w:r w:rsidR="005620D0" w:rsidRPr="00463F80">
        <w:rPr>
          <w:rFonts w:ascii="仿宋_GB2312" w:eastAsia="仿宋_GB2312" w:hAnsi="宋体" w:cs="Times New Roman" w:hint="eastAsia"/>
          <w:b/>
          <w:sz w:val="32"/>
          <w:szCs w:val="32"/>
        </w:rPr>
        <w:t>. 打造科研团队/平台，提升科研与社会服务水平</w:t>
      </w:r>
    </w:p>
    <w:p w14:paraId="5040B2B5" w14:textId="77777777" w:rsidR="005620D0" w:rsidRPr="00463F80" w:rsidRDefault="005620D0" w:rsidP="005620D0">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提升科技服务能力。做好2019年各级各类科技（社科）项目的申报工作，落实好创新强校工程与一流高职院校建设的相关任务指标。开展多种形式的科技宣传活动、科研信息管理平台建设、完善“科研工作量计酬办法”科技创新激励机制。建立常态化的纵向课题预研机制。加大专利申报的指导、完善“科研成果转化办法”，开展成果转化工作。积极探索构建职业教育培训体系。探索继续教育与培训学院建设的体制机制，探索学历教育与培训并举的新举措。完成社会培训工作管理与收入分配办法。积极开展技能培训鉴定，搭建校企共建终身学习平台。</w:t>
      </w:r>
    </w:p>
    <w:p w14:paraId="5D14B534" w14:textId="4B6070E2" w:rsidR="005620D0" w:rsidRPr="00463F80" w:rsidRDefault="0054252C"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3</w:t>
      </w:r>
      <w:r w:rsidR="005620D0" w:rsidRPr="00463F80">
        <w:rPr>
          <w:rFonts w:ascii="仿宋_GB2312" w:eastAsia="仿宋_GB2312" w:hAnsi="宋体" w:cs="Times New Roman" w:hint="eastAsia"/>
          <w:b/>
          <w:sz w:val="32"/>
          <w:szCs w:val="32"/>
        </w:rPr>
        <w:t>.继续扩大国际交流与合作，服务“一带一路”建设</w:t>
      </w:r>
    </w:p>
    <w:p w14:paraId="7E786880" w14:textId="77777777" w:rsidR="005620D0" w:rsidRPr="00463F80" w:rsidRDefault="005620D0" w:rsidP="005620D0">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开展师生国际交流与培训。选派教师赴境外国家培训、交流。选派学生赴境外国家、地区学习交流。招收“一带一路”沿线以及东盟国家留学生，制定留学生系列管理制度。完善工业设计专业国际合作教学实践活动工业设计坊的建设，办好专业成果展。深化职业教育“走出去”试点工作，加强与粤港澳大湾区合作院校的科研合作，力争共建科研创新基地、实训室。不断加强职教集团建设，完善职教集团成员结构，完成省级示范性职教集团中期检查的建设工作。</w:t>
      </w:r>
    </w:p>
    <w:p w14:paraId="6C4DE3D1" w14:textId="5F02B475" w:rsidR="005620D0" w:rsidRPr="00463F80" w:rsidRDefault="0054252C"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4</w:t>
      </w:r>
      <w:r w:rsidR="005620D0" w:rsidRPr="00463F80">
        <w:rPr>
          <w:rFonts w:ascii="仿宋_GB2312" w:eastAsia="仿宋_GB2312" w:hAnsi="宋体" w:cs="Times New Roman" w:hint="eastAsia"/>
          <w:b/>
          <w:sz w:val="32"/>
          <w:szCs w:val="32"/>
        </w:rPr>
        <w:t>.聚焦立德树人核心，推进学生工作不断创新</w:t>
      </w:r>
    </w:p>
    <w:p w14:paraId="0329C9BB" w14:textId="77777777" w:rsidR="005620D0" w:rsidRPr="00463F80" w:rsidRDefault="005620D0" w:rsidP="005620D0">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抓好学风建设，形成良好学风、校风。创新思想政治教育模式和工作方法,积极构建支部党建与学工管理、就业创业、共青团工作有机融合的“党建+”工作格局。强化“核心价值观育人体系”工程，引导组织各级团支部通过“易班”、“党章学习小组”等形式深入学习宣传贯彻习近平新时代中国特色社会主义思想。健全双创教育机制，充分开发“创客城”暨团省委“青创空间”省级示范点效用，建立双创联席会议制度，一篮子实施大创项目、互联网+、挑战杯项目，组织好2019年“挑战杯”申报活动、攀登计划开展及校内双创培育项目工作。深入开展“八个一”校园文化艺术活动，积极推进“一院一品”校园文化建设，持续开展“三深入”（深入校园、深入社区、深入社会）实践活动。深入实施“第二课堂成绩单”，充分调动学生参与素质提升计划的积极性和主动性。加强辅导员队伍建设，提升学生工作满意度。</w:t>
      </w:r>
    </w:p>
    <w:p w14:paraId="752CC7B3" w14:textId="5F450683" w:rsidR="005620D0" w:rsidRPr="00463F80" w:rsidRDefault="0054252C"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5</w:t>
      </w:r>
      <w:r w:rsidR="005620D0" w:rsidRPr="00463F80">
        <w:rPr>
          <w:rFonts w:ascii="仿宋_GB2312" w:eastAsia="仿宋_GB2312" w:hAnsi="宋体" w:cs="Times New Roman" w:hint="eastAsia"/>
          <w:b/>
          <w:sz w:val="32"/>
          <w:szCs w:val="32"/>
        </w:rPr>
        <w:t>.加强校园综合保障建设，不断提升服务能力</w:t>
      </w:r>
    </w:p>
    <w:p w14:paraId="51F603C8" w14:textId="77777777" w:rsidR="005620D0" w:rsidRPr="00463F80" w:rsidRDefault="005620D0" w:rsidP="005620D0">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加强平安校园建设，认真做好特别防护期、重大节点安防维稳工作，加强紧密联系校地安保联动，确保校园平安、和谐、稳定。加快推进教育信息化建设，做好职业院校数字校园实验校中期验收（挂牌）工作。进一步提升后勤保障服务能力，完成西区饭堂改造升级，通过党建进饭堂、阅读空间等方式打造白云校区第一食堂就餐环境亮点。注册校友会，搭建校友合作平台。</w:t>
      </w:r>
    </w:p>
    <w:p w14:paraId="65FBF3AF" w14:textId="098E7BCD" w:rsidR="005620D0" w:rsidRPr="00463F80" w:rsidRDefault="0054252C" w:rsidP="00F667C2">
      <w:pPr>
        <w:spacing w:line="560" w:lineRule="exact"/>
        <w:ind w:firstLine="643"/>
        <w:rPr>
          <w:rFonts w:ascii="仿宋_GB2312" w:eastAsia="仿宋_GB2312" w:hAnsi="宋体" w:cs="Times New Roman"/>
          <w:b/>
          <w:sz w:val="32"/>
          <w:szCs w:val="32"/>
        </w:rPr>
      </w:pPr>
      <w:r w:rsidRPr="00463F80">
        <w:rPr>
          <w:rFonts w:ascii="仿宋_GB2312" w:eastAsia="仿宋_GB2312" w:hAnsi="宋体" w:cs="Times New Roman" w:hint="eastAsia"/>
          <w:b/>
          <w:sz w:val="32"/>
          <w:szCs w:val="32"/>
        </w:rPr>
        <w:t>6</w:t>
      </w:r>
      <w:r w:rsidR="005620D0" w:rsidRPr="00463F80">
        <w:rPr>
          <w:rFonts w:ascii="仿宋_GB2312" w:eastAsia="仿宋_GB2312" w:hAnsi="宋体" w:cs="Times New Roman" w:hint="eastAsia"/>
          <w:b/>
          <w:sz w:val="32"/>
          <w:szCs w:val="32"/>
        </w:rPr>
        <w:t>.做好2019年招生就业工作</w:t>
      </w:r>
    </w:p>
    <w:p w14:paraId="0DC06D39" w14:textId="77777777" w:rsidR="005620D0" w:rsidRPr="00463F80" w:rsidRDefault="005620D0" w:rsidP="005620D0">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做好阳光招生工作，扎实推进分类招生制度改革，确保2019年的招生工作安全、有序进行，分类招生计划达到总计划数的70%以上。深入推进就业工作，充分利用“互联网+”技术，建立精准推送就业服务机制，确保初次就业率达到94.5%，最终就业率达到98.5%。确保4900名应届毕业生充分就业和平安离校。</w:t>
      </w:r>
    </w:p>
    <w:p w14:paraId="3120A1A1" w14:textId="2D697AF0" w:rsidR="009311DC" w:rsidRPr="00463F80" w:rsidRDefault="009311DC" w:rsidP="00D47F5A">
      <w:pPr>
        <w:pStyle w:val="2"/>
        <w:ind w:firstLine="643"/>
      </w:pPr>
      <w:bookmarkStart w:id="6" w:name="_Toc41904194"/>
      <w:r w:rsidRPr="00463F80">
        <w:rPr>
          <w:rFonts w:hint="eastAsia"/>
        </w:rPr>
        <w:t>三、</w:t>
      </w:r>
      <w:r w:rsidR="00A642E3" w:rsidRPr="00463F80">
        <w:t>部门整体支出绩效目标、绩效指标</w:t>
      </w:r>
      <w:bookmarkEnd w:id="6"/>
    </w:p>
    <w:p w14:paraId="2F1511DA" w14:textId="5B3B8B67" w:rsidR="00B4519D" w:rsidRPr="00463F80" w:rsidRDefault="00E04C87" w:rsidP="00E04C87">
      <w:pPr>
        <w:pStyle w:val="3"/>
        <w:ind w:firstLine="643"/>
      </w:pPr>
      <w:bookmarkStart w:id="7" w:name="_Toc41904195"/>
      <w:r w:rsidRPr="00463F80">
        <w:rPr>
          <w:rFonts w:hint="eastAsia"/>
        </w:rPr>
        <w:t>（一）</w:t>
      </w:r>
      <w:r w:rsidR="00B4519D" w:rsidRPr="00463F80">
        <w:t>部门整体支出绩效目标</w:t>
      </w:r>
      <w:bookmarkEnd w:id="7"/>
    </w:p>
    <w:p w14:paraId="6F723084" w14:textId="28B8D513" w:rsidR="001B08CA" w:rsidRPr="00463F80" w:rsidRDefault="00E04C87" w:rsidP="00E04C87">
      <w:pPr>
        <w:pStyle w:val="4"/>
        <w:ind w:leftChars="337" w:left="708" w:right="210" w:firstLineChars="44" w:firstLine="141"/>
      </w:pPr>
      <w:r w:rsidRPr="00463F80">
        <w:rPr>
          <w:rFonts w:hint="eastAsia"/>
        </w:rPr>
        <w:t>1.</w:t>
      </w:r>
      <w:r w:rsidR="0043517D" w:rsidRPr="00463F80">
        <w:t>笃行做实党建工作，全面提升党组织凝聚力和战斗力</w:t>
      </w:r>
    </w:p>
    <w:p w14:paraId="737DECB9" w14:textId="597F1CEB"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进一步实施《加强党的基层组织建设三年行动计划（2018－2020年）实施方案》，全面推进党建工作标准化、规范化、信息化、品牌化建设，在全面提升基层党组织组织力上再聚焦再发力</w:t>
      </w:r>
      <w:r w:rsidR="00B259E2" w:rsidRPr="00463F80">
        <w:rPr>
          <w:rFonts w:ascii="仿宋_GB2312" w:eastAsia="仿宋_GB2312" w:hAnsi="宋体" w:cs="Times New Roman" w:hint="eastAsia"/>
          <w:sz w:val="32"/>
          <w:szCs w:val="32"/>
        </w:rPr>
        <w:t>。</w:t>
      </w:r>
      <w:r w:rsidR="00B259E2" w:rsidRPr="00463F80">
        <w:rPr>
          <w:rFonts w:ascii="仿宋_GB2312" w:eastAsia="仿宋_GB2312" w:hAnsi="宋体" w:cs="Times New Roman"/>
          <w:sz w:val="32"/>
          <w:szCs w:val="32"/>
        </w:rPr>
        <w:t>丰富党员学习教育，多措并举开展各类组织活动，充分发挥师生党员在学校发展中的先锋模范带头作用。按照</w:t>
      </w:r>
      <w:r w:rsidR="00B259E2" w:rsidRPr="00463F80">
        <w:rPr>
          <w:rFonts w:ascii="仿宋_GB2312" w:eastAsia="仿宋_GB2312" w:hAnsi="宋体" w:cs="Times New Roman"/>
          <w:sz w:val="32"/>
          <w:szCs w:val="32"/>
        </w:rPr>
        <w:t>“</w:t>
      </w:r>
      <w:r w:rsidR="00B259E2" w:rsidRPr="00463F80">
        <w:rPr>
          <w:rFonts w:ascii="仿宋_GB2312" w:eastAsia="仿宋_GB2312" w:hAnsi="宋体" w:cs="Times New Roman"/>
          <w:sz w:val="32"/>
          <w:szCs w:val="32"/>
        </w:rPr>
        <w:t>六有</w:t>
      </w:r>
      <w:r w:rsidR="00B259E2" w:rsidRPr="00463F80">
        <w:rPr>
          <w:rFonts w:ascii="仿宋_GB2312" w:eastAsia="仿宋_GB2312" w:hAnsi="宋体" w:cs="Times New Roman"/>
          <w:sz w:val="32"/>
          <w:szCs w:val="32"/>
        </w:rPr>
        <w:t>”</w:t>
      </w:r>
      <w:r w:rsidR="00B259E2" w:rsidRPr="00463F80">
        <w:rPr>
          <w:rFonts w:ascii="仿宋_GB2312" w:eastAsia="仿宋_GB2312" w:hAnsi="宋体" w:cs="Times New Roman"/>
          <w:sz w:val="32"/>
          <w:szCs w:val="32"/>
        </w:rPr>
        <w:t>标准进一步完善党员活动室建设。提升非党教职工凝心聚力谋发展的共识。</w:t>
      </w:r>
      <w:r w:rsidR="00E769A3" w:rsidRPr="00463F80">
        <w:rPr>
          <w:rFonts w:ascii="仿宋_GB2312" w:eastAsia="仿宋_GB2312" w:hAnsi="宋体" w:cs="Times New Roman"/>
          <w:sz w:val="32"/>
          <w:szCs w:val="32"/>
        </w:rPr>
        <w:t>实现</w:t>
      </w:r>
      <w:r w:rsidR="00B259E2" w:rsidRPr="00463F80">
        <w:rPr>
          <w:rFonts w:ascii="仿宋_GB2312" w:eastAsia="仿宋_GB2312" w:hAnsi="宋体" w:cs="Times New Roman"/>
          <w:sz w:val="32"/>
          <w:szCs w:val="32"/>
        </w:rPr>
        <w:t>年度</w:t>
      </w:r>
      <w:r w:rsidR="00E769A3" w:rsidRPr="00463F80">
        <w:rPr>
          <w:rFonts w:ascii="仿宋_GB2312" w:eastAsia="仿宋_GB2312" w:hAnsi="宋体" w:cs="Times New Roman"/>
          <w:sz w:val="32"/>
          <w:szCs w:val="32"/>
        </w:rPr>
        <w:t>党委书记抓党建考核评价优等</w:t>
      </w:r>
      <w:r w:rsidR="00E769A3" w:rsidRPr="00463F80">
        <w:rPr>
          <w:rFonts w:ascii="仿宋_GB2312" w:eastAsia="仿宋_GB2312" w:hAnsi="宋体" w:cs="Times New Roman" w:hint="eastAsia"/>
          <w:sz w:val="32"/>
          <w:szCs w:val="32"/>
        </w:rPr>
        <w:t>，</w:t>
      </w:r>
      <w:r w:rsidR="00E769A3" w:rsidRPr="00463F80">
        <w:rPr>
          <w:rFonts w:ascii="仿宋_GB2312" w:eastAsia="仿宋_GB2312" w:hAnsi="宋体" w:cs="Times New Roman"/>
          <w:sz w:val="32"/>
          <w:szCs w:val="32"/>
        </w:rPr>
        <w:t>培育</w:t>
      </w:r>
      <w:r w:rsidR="00E769A3" w:rsidRPr="00463F80">
        <w:rPr>
          <w:rFonts w:ascii="仿宋_GB2312" w:eastAsia="仿宋_GB2312" w:hAnsi="宋体" w:cs="Times New Roman" w:hint="eastAsia"/>
          <w:sz w:val="32"/>
          <w:szCs w:val="32"/>
        </w:rPr>
        <w:t>1个全国样板支部，推广</w:t>
      </w:r>
      <w:r w:rsidR="00E769A3" w:rsidRPr="00463F80">
        <w:rPr>
          <w:rFonts w:ascii="仿宋_GB2312" w:eastAsia="仿宋_GB2312" w:hAnsi="宋体"/>
          <w:sz w:val="32"/>
          <w:szCs w:val="32"/>
        </w:rPr>
        <w:t>“</w:t>
      </w:r>
      <w:r w:rsidR="00E769A3" w:rsidRPr="00463F80">
        <w:rPr>
          <w:rFonts w:ascii="仿宋_GB2312" w:eastAsia="仿宋_GB2312" w:hAnsi="宋体"/>
          <w:sz w:val="32"/>
          <w:szCs w:val="32"/>
        </w:rPr>
        <w:t>党建引领电商扶贫</w:t>
      </w:r>
      <w:r w:rsidR="00E769A3" w:rsidRPr="00463F80">
        <w:rPr>
          <w:rFonts w:ascii="仿宋_GB2312" w:eastAsia="仿宋_GB2312" w:hAnsi="宋体"/>
          <w:sz w:val="32"/>
          <w:szCs w:val="32"/>
        </w:rPr>
        <w:t>”</w:t>
      </w:r>
      <w:r w:rsidR="00E769A3" w:rsidRPr="00463F80">
        <w:rPr>
          <w:rFonts w:ascii="仿宋_GB2312" w:eastAsia="仿宋_GB2312" w:hAnsi="宋体"/>
          <w:sz w:val="32"/>
          <w:szCs w:val="32"/>
        </w:rPr>
        <w:t>的党建品牌</w:t>
      </w:r>
      <w:r w:rsidRPr="00463F80">
        <w:rPr>
          <w:rFonts w:ascii="仿宋_GB2312" w:eastAsia="仿宋_GB2312" w:hAnsi="宋体" w:cs="Times New Roman"/>
          <w:sz w:val="32"/>
          <w:szCs w:val="32"/>
        </w:rPr>
        <w:t>。</w:t>
      </w:r>
      <w:r w:rsidR="00B259E2" w:rsidRPr="00463F80">
        <w:rPr>
          <w:rFonts w:ascii="仿宋_GB2312" w:eastAsia="仿宋_GB2312" w:hAnsi="宋体"/>
          <w:sz w:val="32"/>
          <w:szCs w:val="32"/>
        </w:rPr>
        <w:t>加强阵地建设，学校官微力争进入全国百强行列</w:t>
      </w:r>
      <w:r w:rsidR="00B259E2" w:rsidRPr="00463F80">
        <w:rPr>
          <w:rFonts w:ascii="仿宋_GB2312" w:eastAsia="仿宋_GB2312" w:hAnsi="宋体" w:hint="eastAsia"/>
          <w:sz w:val="32"/>
          <w:szCs w:val="32"/>
        </w:rPr>
        <w:t>。</w:t>
      </w:r>
    </w:p>
    <w:p w14:paraId="3B4D47ED" w14:textId="600A9F0C" w:rsidR="0048780F" w:rsidRPr="00463F80" w:rsidRDefault="00E04C87" w:rsidP="00E04C87">
      <w:pPr>
        <w:pStyle w:val="4"/>
        <w:ind w:left="210" w:right="210" w:firstLine="643"/>
      </w:pPr>
      <w:r w:rsidRPr="00463F80">
        <w:rPr>
          <w:rFonts w:hint="eastAsia"/>
        </w:rPr>
        <w:t>2.</w:t>
      </w:r>
      <w:r w:rsidR="0043517D" w:rsidRPr="00463F80">
        <w:t>保运转，夯实持续发展根基</w:t>
      </w:r>
    </w:p>
    <w:p w14:paraId="1ECD2C29" w14:textId="48ABC875"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保障人员</w:t>
      </w:r>
      <w:r w:rsidR="00BD49CE" w:rsidRPr="00463F80">
        <w:rPr>
          <w:rFonts w:ascii="仿宋_GB2312" w:eastAsia="仿宋_GB2312" w:hAnsi="宋体" w:cs="Times New Roman"/>
          <w:sz w:val="32"/>
          <w:szCs w:val="32"/>
        </w:rPr>
        <w:t>工资正常发放，实施分配制度改革，小幅度提高教职员工薪酬待遇水平</w:t>
      </w:r>
      <w:r w:rsidR="00B259E2" w:rsidRPr="00463F80">
        <w:rPr>
          <w:rFonts w:ascii="仿宋_GB2312" w:eastAsia="仿宋_GB2312" w:hAnsi="宋体" w:cs="Times New Roman" w:hint="eastAsia"/>
          <w:sz w:val="32"/>
          <w:szCs w:val="32"/>
        </w:rPr>
        <w:t>。</w:t>
      </w:r>
      <w:r w:rsidRPr="00463F80">
        <w:rPr>
          <w:rFonts w:ascii="仿宋_GB2312" w:eastAsia="仿宋_GB2312" w:hAnsi="宋体" w:cs="Times New Roman"/>
          <w:sz w:val="32"/>
          <w:szCs w:val="32"/>
        </w:rPr>
        <w:t>加大人才引进力度</w:t>
      </w:r>
      <w:r w:rsidR="00B259E2" w:rsidRPr="00463F80">
        <w:rPr>
          <w:rFonts w:ascii="仿宋_GB2312" w:eastAsia="仿宋_GB2312" w:hAnsi="宋体" w:cs="Times New Roman" w:hint="eastAsia"/>
          <w:sz w:val="32"/>
          <w:szCs w:val="32"/>
        </w:rPr>
        <w:t>，</w:t>
      </w:r>
      <w:r w:rsidR="00B259E2" w:rsidRPr="00463F80">
        <w:rPr>
          <w:rFonts w:ascii="仿宋_GB2312" w:eastAsia="仿宋_GB2312" w:hAnsi="宋体" w:cs="Times New Roman"/>
          <w:sz w:val="32"/>
          <w:szCs w:val="32"/>
        </w:rPr>
        <w:t>争取引进</w:t>
      </w:r>
      <w:r w:rsidR="00BD49CE" w:rsidRPr="00463F80">
        <w:rPr>
          <w:rFonts w:ascii="仿宋_GB2312" w:eastAsia="仿宋_GB2312" w:hAnsi="宋体" w:cs="Times New Roman" w:hint="eastAsia"/>
          <w:sz w:val="32"/>
          <w:szCs w:val="32"/>
        </w:rPr>
        <w:t>6</w:t>
      </w:r>
      <w:r w:rsidR="00B259E2" w:rsidRPr="00463F80">
        <w:rPr>
          <w:rFonts w:ascii="仿宋_GB2312" w:eastAsia="仿宋_GB2312" w:hAnsi="宋体" w:cs="Times New Roman" w:hint="eastAsia"/>
          <w:sz w:val="32"/>
          <w:szCs w:val="32"/>
        </w:rPr>
        <w:t>名以上高层次人才</w:t>
      </w:r>
      <w:r w:rsidR="00D92A95" w:rsidRPr="00463F80">
        <w:rPr>
          <w:rFonts w:ascii="仿宋_GB2312" w:eastAsia="仿宋_GB2312" w:hAnsi="宋体" w:cs="Times New Roman" w:hint="eastAsia"/>
          <w:sz w:val="32"/>
          <w:szCs w:val="32"/>
        </w:rPr>
        <w:t>，</w:t>
      </w:r>
      <w:r w:rsidR="00B259E2" w:rsidRPr="00463F80">
        <w:rPr>
          <w:rFonts w:ascii="仿宋_GB2312" w:eastAsia="仿宋_GB2312" w:hAnsi="宋体" w:cs="Times New Roman" w:hint="eastAsia"/>
          <w:sz w:val="32"/>
          <w:szCs w:val="32"/>
        </w:rPr>
        <w:t>优化教师队伍结构</w:t>
      </w:r>
      <w:r w:rsidR="00D92A95" w:rsidRPr="00463F80">
        <w:rPr>
          <w:rFonts w:ascii="仿宋_GB2312" w:eastAsia="仿宋_GB2312" w:hAnsi="宋体" w:cs="Times New Roman" w:hint="eastAsia"/>
          <w:sz w:val="32"/>
          <w:szCs w:val="32"/>
        </w:rPr>
        <w:t>。</w:t>
      </w:r>
      <w:r w:rsidRPr="00463F80">
        <w:rPr>
          <w:rFonts w:ascii="仿宋_GB2312" w:eastAsia="仿宋_GB2312" w:hAnsi="宋体" w:cs="Times New Roman"/>
          <w:sz w:val="32"/>
          <w:szCs w:val="32"/>
        </w:rPr>
        <w:t>保障学校教学、科研，后勤保障等工作正常运转，厉行节约，严控一般性支出。</w:t>
      </w:r>
    </w:p>
    <w:p w14:paraId="4023EB4C" w14:textId="06743DAD" w:rsidR="0048780F" w:rsidRPr="00463F80" w:rsidRDefault="00E04C87" w:rsidP="00E04C87">
      <w:pPr>
        <w:pStyle w:val="4"/>
        <w:ind w:left="210" w:right="210" w:firstLine="643"/>
      </w:pPr>
      <w:r w:rsidRPr="00463F80">
        <w:rPr>
          <w:rFonts w:hint="eastAsia"/>
        </w:rPr>
        <w:t>3.</w:t>
      </w:r>
      <w:r w:rsidR="0043517D" w:rsidRPr="00463F80">
        <w:t>保发展，集中财力办大事</w:t>
      </w:r>
    </w:p>
    <w:p w14:paraId="3D06AA9C" w14:textId="62529CF1"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启动</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扩容，体质、强服务</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建设规划制定学校《提高高等教育毛入学率基建项目规划建设方案（2019-2021 年）》（下称规划）。抢抓机遇，将白云校区容积率申请从 0.8 调整到 1.0。2019 年扩招 1300 人，启动《规划》第一期建设（一栋 23800</w:t>
      </w:r>
      <w:r w:rsidR="0054252C"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学生宿舍、一栋 38000</w:t>
      </w:r>
      <w:r w:rsidR="0054252C"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 xml:space="preserve"> 图书信息综合楼），</w:t>
      </w:r>
      <w:r w:rsidR="00D85009">
        <w:rPr>
          <w:rFonts w:ascii="仿宋_GB2312" w:eastAsia="仿宋_GB2312" w:hAnsi="宋体" w:cs="Times New Roman"/>
          <w:sz w:val="32"/>
          <w:szCs w:val="32"/>
        </w:rPr>
        <w:t>新增</w:t>
      </w:r>
      <w:r w:rsidR="00D85009">
        <w:rPr>
          <w:rFonts w:ascii="仿宋_GB2312" w:eastAsia="仿宋_GB2312" w:hAnsi="宋体" w:cs="Times New Roman" w:hint="eastAsia"/>
          <w:sz w:val="32"/>
          <w:szCs w:val="32"/>
        </w:rPr>
        <w:t>2000个学生床位，</w:t>
      </w:r>
      <w:r w:rsidRPr="00463F80">
        <w:rPr>
          <w:rFonts w:ascii="仿宋_GB2312" w:eastAsia="仿宋_GB2312" w:hAnsi="宋体" w:cs="Times New Roman"/>
          <w:sz w:val="32"/>
          <w:szCs w:val="32"/>
        </w:rPr>
        <w:t>建设资金 2.85 亿元。</w:t>
      </w:r>
    </w:p>
    <w:p w14:paraId="43CC0102" w14:textId="548809EC"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强力推进创新强校工程和一流院校建设，组织好</w:t>
      </w:r>
      <w:r w:rsidR="00D85009">
        <w:rPr>
          <w:rFonts w:ascii="仿宋_GB2312" w:eastAsia="仿宋_GB2312" w:hAnsi="宋体" w:cs="Times New Roman" w:hint="eastAsia"/>
          <w:sz w:val="32"/>
          <w:szCs w:val="32"/>
        </w:rPr>
        <w:t>国家</w:t>
      </w:r>
      <w:r w:rsidR="00D85009">
        <w:rPr>
          <w:rFonts w:ascii="仿宋_GB2312" w:eastAsia="仿宋_GB2312" w:hAnsi="宋体" w:cs="Times New Roman"/>
          <w:sz w:val="32"/>
          <w:szCs w:val="32"/>
        </w:rPr>
        <w:t>双</w:t>
      </w:r>
      <w:r w:rsidRPr="00463F80">
        <w:rPr>
          <w:rFonts w:ascii="仿宋_GB2312" w:eastAsia="仿宋_GB2312" w:hAnsi="宋体" w:cs="Times New Roman"/>
          <w:sz w:val="32"/>
          <w:szCs w:val="32"/>
        </w:rPr>
        <w:t>高校（专业群）申报工作。加强项目统筹推进力度，确保落地见效；对照项目的完成情况，将项目建设与人才培养紧密结合，全面提升项目的使用绩效，强化</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一流校</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建设</w:t>
      </w:r>
      <w:r w:rsidR="00D660CE" w:rsidRPr="00463F80">
        <w:rPr>
          <w:rFonts w:ascii="仿宋_GB2312" w:eastAsia="仿宋_GB2312" w:hAnsi="宋体" w:cs="Times New Roman"/>
          <w:sz w:val="32"/>
          <w:szCs w:val="32"/>
        </w:rPr>
        <w:t>和</w:t>
      </w:r>
      <w:r w:rsidR="00D660CE" w:rsidRPr="00463F80">
        <w:rPr>
          <w:rFonts w:ascii="仿宋_GB2312" w:eastAsia="仿宋_GB2312" w:hAnsi="宋体" w:cs="Times New Roman" w:hint="eastAsia"/>
          <w:sz w:val="32"/>
          <w:szCs w:val="32"/>
        </w:rPr>
        <w:t>“创新强校工程</w:t>
      </w:r>
      <w:r w:rsidR="006B0518" w:rsidRPr="00463F80">
        <w:rPr>
          <w:rFonts w:ascii="仿宋_GB2312" w:eastAsia="仿宋_GB2312" w:hAnsi="宋体" w:cs="Times New Roman" w:hint="eastAsia"/>
          <w:sz w:val="32"/>
          <w:szCs w:val="32"/>
        </w:rPr>
        <w:t>”</w:t>
      </w:r>
      <w:r w:rsidRPr="00463F80">
        <w:rPr>
          <w:rFonts w:ascii="仿宋_GB2312" w:eastAsia="仿宋_GB2312" w:hAnsi="宋体" w:cs="Times New Roman"/>
          <w:sz w:val="32"/>
          <w:szCs w:val="32"/>
        </w:rPr>
        <w:t>绩校考核</w:t>
      </w:r>
      <w:r w:rsidR="00D660CE" w:rsidRPr="00463F80">
        <w:rPr>
          <w:rFonts w:ascii="仿宋_GB2312" w:eastAsia="仿宋_GB2312" w:hAnsi="宋体" w:cs="Times New Roman" w:hint="eastAsia"/>
          <w:sz w:val="32"/>
          <w:szCs w:val="32"/>
        </w:rPr>
        <w:t>，</w:t>
      </w:r>
      <w:r w:rsidR="00D660CE" w:rsidRPr="00463F80">
        <w:rPr>
          <w:rFonts w:ascii="仿宋_GB2312" w:eastAsia="仿宋_GB2312" w:hAnsi="宋体" w:cs="Times New Roman"/>
          <w:sz w:val="32"/>
          <w:szCs w:val="32"/>
        </w:rPr>
        <w:t>力争</w:t>
      </w:r>
      <w:r w:rsidR="00D660CE" w:rsidRPr="00463F80">
        <w:rPr>
          <w:rFonts w:ascii="仿宋_GB2312" w:eastAsia="仿宋_GB2312" w:hAnsi="宋体" w:cs="Times New Roman" w:hint="eastAsia"/>
          <w:sz w:val="32"/>
          <w:szCs w:val="32"/>
        </w:rPr>
        <w:t>“创新强校”考核在全省前10名</w:t>
      </w:r>
      <w:r w:rsidRPr="00463F80">
        <w:rPr>
          <w:rFonts w:ascii="仿宋_GB2312" w:eastAsia="仿宋_GB2312" w:hAnsi="宋体" w:cs="Times New Roman"/>
          <w:sz w:val="32"/>
          <w:szCs w:val="32"/>
        </w:rPr>
        <w:t>；继续开展 2019 年度项目申报、遴选及项目入库工作，保证各项目建设及标志性成果按期完成，确实加快预算执行进度，创新强校和一流院校财政建设资金年终支出率不低于98%。组织好</w:t>
      </w:r>
      <w:r w:rsidR="00D85009">
        <w:rPr>
          <w:rFonts w:ascii="仿宋_GB2312" w:eastAsia="仿宋_GB2312" w:hAnsi="宋体" w:cs="Times New Roman" w:hint="eastAsia"/>
          <w:sz w:val="32"/>
          <w:szCs w:val="32"/>
        </w:rPr>
        <w:t>国家</w:t>
      </w:r>
      <w:r w:rsidR="00D85009">
        <w:rPr>
          <w:rFonts w:ascii="仿宋_GB2312" w:eastAsia="仿宋_GB2312" w:hAnsi="宋体" w:cs="Times New Roman"/>
          <w:sz w:val="32"/>
          <w:szCs w:val="32"/>
        </w:rPr>
        <w:t>双高</w:t>
      </w:r>
      <w:r w:rsidRPr="00463F80">
        <w:rPr>
          <w:rFonts w:ascii="仿宋_GB2312" w:eastAsia="仿宋_GB2312" w:hAnsi="宋体" w:cs="Times New Roman"/>
          <w:sz w:val="32"/>
          <w:szCs w:val="32"/>
        </w:rPr>
        <w:t>校（专业群）申报工作，力争进入</w:t>
      </w:r>
      <w:r w:rsidR="00D85009">
        <w:rPr>
          <w:rFonts w:ascii="仿宋_GB2312" w:eastAsia="仿宋_GB2312" w:hAnsi="宋体" w:cs="Times New Roman" w:hint="eastAsia"/>
          <w:sz w:val="32"/>
          <w:szCs w:val="32"/>
        </w:rPr>
        <w:t>国家</w:t>
      </w:r>
      <w:r w:rsidR="00D85009">
        <w:rPr>
          <w:rFonts w:ascii="仿宋_GB2312" w:eastAsia="仿宋_GB2312" w:hAnsi="宋体" w:cs="Times New Roman"/>
          <w:sz w:val="32"/>
          <w:szCs w:val="32"/>
        </w:rPr>
        <w:t>双高</w:t>
      </w:r>
      <w:r w:rsidRPr="00463F80">
        <w:rPr>
          <w:rFonts w:ascii="仿宋_GB2312" w:eastAsia="仿宋_GB2312" w:hAnsi="宋体" w:cs="Times New Roman"/>
          <w:sz w:val="32"/>
          <w:szCs w:val="32"/>
        </w:rPr>
        <w:t>校（专业群）行列。</w:t>
      </w:r>
    </w:p>
    <w:p w14:paraId="044F7782" w14:textId="1B835DCA" w:rsidR="0048780F" w:rsidRPr="00463F80" w:rsidRDefault="0087378B" w:rsidP="0087378B">
      <w:pPr>
        <w:pStyle w:val="4"/>
        <w:ind w:left="210" w:right="210" w:firstLine="640"/>
      </w:pPr>
      <w:r w:rsidRPr="00463F80">
        <w:rPr>
          <w:rStyle w:val="4Char"/>
          <w:rFonts w:hint="eastAsia"/>
        </w:rPr>
        <w:t>4.</w:t>
      </w:r>
      <w:r w:rsidR="0043517D" w:rsidRPr="00463F80">
        <w:t>聚焦立德树人核心，培育高素质大湾区人才</w:t>
      </w:r>
    </w:p>
    <w:p w14:paraId="6E5C3543" w14:textId="13FB138C" w:rsidR="00D92A95" w:rsidRPr="00463F80" w:rsidRDefault="0043517D" w:rsidP="00D92A95">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抓好学风建设，抓良好习惯养成和行为规范，形成良好学风、校风，强化</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核心价值观育人体系</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工程，进一步提高学生政治站位和政治自觉。健全双创教育机制，充分开发</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创客城</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暨团省委</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青创空间</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省级示范点效用，拟建立双创联席会议制度，一篮子实施大创项目、互联网+、挑战杯项目，组织好 2019 年</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挑战杯</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申报活动、攀登计划开展及校内双创培育项目工作。深化</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 xml:space="preserve"> 142 </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内涵建设。深入开展</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八个一</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校园文化艺术活动，举办科技文化艺术节、社团文化节、雷锋月等品牌活动，努力营造健康高雅、生动活泼的校园文化氛围。</w:t>
      </w:r>
    </w:p>
    <w:p w14:paraId="2229AA2B" w14:textId="04EEA268" w:rsidR="00D660CE" w:rsidRPr="00463F80" w:rsidRDefault="00D660CE" w:rsidP="00D660CE">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实施人才培养模式改革创新，推动实施混合式教学模式改革，开展“集团办学”、中高衔接、高本协同、现代学徒制人才培养模式探索和实践，打通职业教育人才培养立交桥。开展卓越班、订单班、复合班等精准人才培养。积极申报国家首批“1+X证书制度试点”院校。力争建成国家级骨干专业4个、国家级生产性实训基地1个、协同创新中心2个、“双师型”教师培养培训基地2个。</w:t>
      </w:r>
    </w:p>
    <w:p w14:paraId="4AA69CAB" w14:textId="6274313E" w:rsidR="0048780F" w:rsidRPr="00463F80" w:rsidRDefault="0087378B" w:rsidP="003E4EFF">
      <w:pPr>
        <w:pStyle w:val="4"/>
        <w:ind w:left="210" w:right="210" w:firstLine="643"/>
        <w:rPr>
          <w:rStyle w:val="4Char"/>
          <w:b/>
        </w:rPr>
      </w:pPr>
      <w:r w:rsidRPr="00463F80">
        <w:rPr>
          <w:rStyle w:val="4Char"/>
          <w:rFonts w:hint="eastAsia"/>
          <w:b/>
        </w:rPr>
        <w:t>5.</w:t>
      </w:r>
      <w:r w:rsidR="0043517D" w:rsidRPr="00463F80">
        <w:rPr>
          <w:rStyle w:val="4Char"/>
          <w:b/>
        </w:rPr>
        <w:t>深入推进招生就业工作，提升学校社会影响力</w:t>
      </w:r>
    </w:p>
    <w:p w14:paraId="030D9FEF" w14:textId="7095B44D" w:rsidR="001B08CA"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充分认真完成全校 8065 人招生计划，构建以就业和社会需求为导向的招生计划调节机制，扎实推进分类招生制度改革，确保分类招生计划达到总计划数的 70%以上；做好招生计划的分配与调整、新生报到、应急预案等工作，确保2019 年的招生工作安全、有序进行。</w:t>
      </w:r>
    </w:p>
    <w:p w14:paraId="30C4D88A" w14:textId="3A32E602"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利用</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互联网+</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技术，建立精准推送就业服务机制，举办职业规划大赛等赛事，提升学生就业竞争力，确保初次就业率达到94.5%，最终就业率达到 98.5%。确保 4900 名应届毕业生充分就业和平安离校。</w:t>
      </w:r>
    </w:p>
    <w:p w14:paraId="0AB3F6AF" w14:textId="51863804" w:rsidR="0048780F" w:rsidRPr="00463F80" w:rsidRDefault="0087378B" w:rsidP="0087378B">
      <w:pPr>
        <w:pStyle w:val="4"/>
        <w:ind w:left="210" w:right="210" w:firstLine="643"/>
      </w:pPr>
      <w:r w:rsidRPr="00463F80">
        <w:rPr>
          <w:rFonts w:hint="eastAsia"/>
        </w:rPr>
        <w:t>6.</w:t>
      </w:r>
      <w:r w:rsidR="0043517D" w:rsidRPr="00463F80">
        <w:t>大力推进</w:t>
      </w:r>
      <w:r w:rsidR="0043517D" w:rsidRPr="00463F80">
        <w:t>“</w:t>
      </w:r>
      <w:r w:rsidR="0043517D" w:rsidRPr="00463F80">
        <w:t>强师工程</w:t>
      </w:r>
      <w:r w:rsidR="0043517D" w:rsidRPr="00463F80">
        <w:t>”</w:t>
      </w:r>
      <w:r w:rsidR="0043517D" w:rsidRPr="00463F80">
        <w:t>，引培优秀人才</w:t>
      </w:r>
    </w:p>
    <w:p w14:paraId="0ECF11F0" w14:textId="4DAEB41E"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实施教师素质提升计划。建设实验教师队伍，加强对校内名师名匠的培育，做好 2019 年珠江学者、广东省特支计划、省级教学名师等人才项目申报的准备工作，努力提升我校师资力量。推进教师发展中心建设，开展教职员工职业生涯发展规划服务，开设</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传帮带</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工作坊和匠心养成训练营，提升教师教育教学能力和技术服务能力。落实 5 年一周期的全员轮训制度，大力培养</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双师型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教师。立项培育校级、省级教师教学创新团队。</w:t>
      </w:r>
    </w:p>
    <w:p w14:paraId="393C46BE" w14:textId="0C5B8930" w:rsidR="006B0518" w:rsidRPr="00463F80" w:rsidRDefault="006B0518" w:rsidP="006B0518">
      <w:pPr>
        <w:pStyle w:val="4"/>
        <w:ind w:left="210" w:right="210" w:firstLine="643"/>
      </w:pPr>
      <w:r w:rsidRPr="00463F80">
        <w:rPr>
          <w:rFonts w:hint="eastAsia"/>
        </w:rPr>
        <w:t xml:space="preserve">7. </w:t>
      </w:r>
      <w:r w:rsidRPr="00463F80">
        <w:rPr>
          <w:rFonts w:hint="eastAsia"/>
        </w:rPr>
        <w:t>引培并举，提升教师科研服务水平</w:t>
      </w:r>
    </w:p>
    <w:p w14:paraId="50622D13" w14:textId="6468F167" w:rsidR="006B0518" w:rsidRPr="00463F80" w:rsidRDefault="006B0518" w:rsidP="006B0518">
      <w:pPr>
        <w:spacing w:line="560" w:lineRule="exact"/>
        <w:ind w:firstLine="640"/>
        <w:outlineLvl w:val="0"/>
        <w:rPr>
          <w:rFonts w:ascii="仿宋_GB2312" w:eastAsia="仿宋_GB2312" w:hAnsi="宋体" w:cs="Times New Roman"/>
          <w:sz w:val="32"/>
          <w:szCs w:val="32"/>
        </w:rPr>
      </w:pPr>
      <w:r w:rsidRPr="00463F80">
        <w:rPr>
          <w:rFonts w:ascii="仿宋_GB2312" w:eastAsia="仿宋_GB2312" w:hAnsi="宋体" w:cs="Times New Roman" w:hint="eastAsia"/>
          <w:sz w:val="32"/>
          <w:szCs w:val="32"/>
        </w:rPr>
        <w:t>做好 2019年各级各类科技（社科）项目的申报工作，开展多种形式的科技宣传活动、科研信息管理平台建设、完善“科研工作量计酬办法”科技创新激励机制。建立常态化的纵向课题预研机制。建立科研与社会服务型、教学型两类教师分类管理办法，探索成立法人制工程中心，进一步拓展横向课题立项途径。加大专利申报的指导、完善“科研成果转化办法”，开展成果转化工作。2019年重点建成5个左右稳定的科研团队、打造10个校级科研平台（主要包括工程技术研究中心、应用技术协同创新中心、协同育人中心）、建成1-2个省级科研平台。争取在省级及以上各类科研项目、各类专利和软件著作权及成果转化方面有大的突破。</w:t>
      </w:r>
    </w:p>
    <w:p w14:paraId="18B06221" w14:textId="6A7A9EF0" w:rsidR="0048780F" w:rsidRPr="00463F80" w:rsidRDefault="006B0518" w:rsidP="0087378B">
      <w:pPr>
        <w:pStyle w:val="4"/>
        <w:ind w:left="210" w:right="210" w:firstLine="643"/>
      </w:pPr>
      <w:r w:rsidRPr="00463F80">
        <w:rPr>
          <w:rFonts w:hint="eastAsia"/>
        </w:rPr>
        <w:t>8</w:t>
      </w:r>
      <w:r w:rsidR="0087378B" w:rsidRPr="00463F80">
        <w:rPr>
          <w:rFonts w:hint="eastAsia"/>
        </w:rPr>
        <w:t>.</w:t>
      </w:r>
      <w:r w:rsidR="0043517D" w:rsidRPr="00463F80">
        <w:t>继续扩大国际交流与合作，服务</w:t>
      </w:r>
      <w:r w:rsidR="0043517D" w:rsidRPr="00463F80">
        <w:t>“</w:t>
      </w:r>
      <w:r w:rsidR="0043517D" w:rsidRPr="00463F80">
        <w:t>一带一路</w:t>
      </w:r>
      <w:r w:rsidR="0043517D" w:rsidRPr="00463F80">
        <w:t>”</w:t>
      </w:r>
      <w:r w:rsidR="0043517D" w:rsidRPr="00463F80">
        <w:t>建设</w:t>
      </w:r>
    </w:p>
    <w:p w14:paraId="41B14469" w14:textId="551E4290"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继续开展师生国际交流与培训。选派</w:t>
      </w:r>
      <w:r w:rsidR="006B0518" w:rsidRPr="00463F80">
        <w:rPr>
          <w:rFonts w:ascii="仿宋_GB2312" w:eastAsia="仿宋_GB2312" w:hAnsi="宋体" w:cs="Times New Roman" w:hint="eastAsia"/>
          <w:sz w:val="32"/>
          <w:szCs w:val="32"/>
        </w:rPr>
        <w:t>3名以上</w:t>
      </w:r>
      <w:r w:rsidRPr="00463F80">
        <w:rPr>
          <w:rFonts w:ascii="仿宋_GB2312" w:eastAsia="仿宋_GB2312" w:hAnsi="宋体" w:cs="Times New Roman"/>
          <w:sz w:val="32"/>
          <w:szCs w:val="32"/>
        </w:rPr>
        <w:t>教师赴境外国家培训、交流。选派学生赴境外国家、地区学习交流。招收</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一带一路</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沿线以及东盟国家留学生</w:t>
      </w:r>
      <w:r w:rsidR="006B0518" w:rsidRPr="00463F80">
        <w:rPr>
          <w:rFonts w:ascii="仿宋_GB2312" w:eastAsia="仿宋_GB2312" w:hAnsi="宋体" w:cs="Times New Roman" w:hint="eastAsia"/>
          <w:sz w:val="32"/>
          <w:szCs w:val="32"/>
        </w:rPr>
        <w:t>10名左右</w:t>
      </w:r>
      <w:r w:rsidRPr="00463F80">
        <w:rPr>
          <w:rFonts w:ascii="仿宋_GB2312" w:eastAsia="仿宋_GB2312" w:hAnsi="宋体" w:cs="Times New Roman"/>
          <w:sz w:val="32"/>
          <w:szCs w:val="32"/>
        </w:rPr>
        <w:t>，力争开设机械制造与自动化专业以及汉语语言班，深化职业教育</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走出去</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 xml:space="preserve">试点工作。力争开展 </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中赞职业技术学院分院</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建设和签订境外办学共建协议。</w:t>
      </w:r>
    </w:p>
    <w:tbl>
      <w:tblPr>
        <w:tblStyle w:val="a"/>
        <w:tblW w:w="0" w:type="auto"/>
        <w:tblInd w:w="360" w:type="dxa"/>
        <w:tblLook w:val="04A0" w:firstRow="1" w:lastRow="0" w:firstColumn="1" w:lastColumn="0" w:noHBand="0" w:noVBand="1"/>
      </w:tblPr>
      <w:tblGrid>
        <w:gridCol w:w="741"/>
        <w:gridCol w:w="1254"/>
        <w:gridCol w:w="1722"/>
        <w:gridCol w:w="3381"/>
        <w:gridCol w:w="2289"/>
      </w:tblGrid>
      <w:tr w:rsidR="00463F80" w:rsidRPr="00463F80" w14:paraId="38D59E8A" w14:textId="77777777" w:rsidTr="00350976">
        <w:trPr>
          <w:trHeight w:val="660"/>
        </w:trPr>
        <w:tc>
          <w:tcPr>
            <w:tcW w:w="9387" w:type="dxa"/>
            <w:gridSpan w:val="5"/>
            <w:tcBorders>
              <w:top w:val="nil"/>
              <w:left w:val="nil"/>
              <w:bottom w:val="single" w:sz="4" w:space="0" w:color="auto"/>
              <w:right w:val="nil"/>
            </w:tcBorders>
            <w:shd w:val="clear" w:color="auto" w:fill="FFFFFF"/>
          </w:tcPr>
          <w:p w14:paraId="61C25CE0" w14:textId="77777777" w:rsidR="0086736B" w:rsidRPr="00463F80" w:rsidRDefault="0086736B" w:rsidP="00350976">
            <w:pPr>
              <w:pStyle w:val="3"/>
              <w:ind w:firstLine="643"/>
              <w:outlineLvl w:val="2"/>
            </w:pPr>
            <w:bookmarkStart w:id="8" w:name="_Toc41904196"/>
            <w:bookmarkStart w:id="9" w:name="_Toc41904197"/>
            <w:r w:rsidRPr="00463F80">
              <w:rPr>
                <w:rFonts w:hint="eastAsia"/>
              </w:rPr>
              <w:t>（二）部门支出总体绩效指标</w:t>
            </w:r>
            <w:bookmarkEnd w:id="8"/>
          </w:p>
          <w:p w14:paraId="7871F675" w14:textId="097313CA" w:rsidR="0086736B" w:rsidRPr="00463F80" w:rsidRDefault="0086736B" w:rsidP="00241B7D">
            <w:pPr>
              <w:spacing w:line="312" w:lineRule="auto"/>
              <w:ind w:firstLine="640"/>
              <w:jc w:val="left"/>
              <w:rPr>
                <w:rFonts w:ascii="宋体" w:hAnsi="宋体"/>
                <w:b/>
                <w:sz w:val="28"/>
                <w:szCs w:val="28"/>
              </w:rPr>
            </w:pPr>
            <w:r w:rsidRPr="00463F80">
              <w:rPr>
                <w:rFonts w:ascii="仿宋_GB2312" w:eastAsia="仿宋_GB2312" w:hAnsi="仿宋_GB2312" w:hint="eastAsia"/>
                <w:sz w:val="32"/>
                <w:szCs w:val="32"/>
              </w:rPr>
              <w:t xml:space="preserve">根据我校中长期规划和年度重点计划、结合整体支出绩效目标，设置了我校整体支出绩效指标，指标见表1 </w:t>
            </w:r>
            <w:r w:rsidR="00463F80">
              <w:rPr>
                <w:rFonts w:ascii="仿宋_GB2312" w:eastAsia="仿宋_GB2312" w:hAnsi="仿宋_GB2312" w:hint="eastAsia"/>
                <w:sz w:val="32"/>
                <w:szCs w:val="32"/>
              </w:rPr>
              <w:t>。我校整体支出绩效指标完成情况见表8。</w:t>
            </w:r>
          </w:p>
          <w:p w14:paraId="4708D4B9" w14:textId="77777777" w:rsidR="0086736B" w:rsidRPr="00463F80" w:rsidRDefault="0086736B" w:rsidP="0086736B">
            <w:pPr>
              <w:spacing w:line="312" w:lineRule="auto"/>
              <w:ind w:firstLine="562"/>
              <w:jc w:val="center"/>
              <w:rPr>
                <w:rFonts w:ascii="宋体" w:hAnsi="宋体"/>
                <w:b/>
                <w:sz w:val="28"/>
                <w:szCs w:val="28"/>
              </w:rPr>
            </w:pPr>
            <w:r w:rsidRPr="00463F80">
              <w:rPr>
                <w:rFonts w:ascii="宋体" w:hAnsi="宋体" w:hint="eastAsia"/>
                <w:b/>
                <w:sz w:val="28"/>
                <w:szCs w:val="28"/>
              </w:rPr>
              <w:t>表1</w:t>
            </w:r>
            <w:r w:rsidRPr="00463F80">
              <w:rPr>
                <w:rFonts w:ascii="宋体" w:hAnsi="宋体"/>
                <w:b/>
                <w:sz w:val="28"/>
                <w:szCs w:val="28"/>
              </w:rPr>
              <w:t xml:space="preserve"> 部门支出总体绩效</w:t>
            </w:r>
            <w:r w:rsidRPr="00463F80">
              <w:rPr>
                <w:rFonts w:ascii="宋体" w:hAnsi="宋体" w:hint="eastAsia"/>
                <w:b/>
                <w:sz w:val="28"/>
                <w:szCs w:val="28"/>
              </w:rPr>
              <w:t>指</w:t>
            </w:r>
            <w:r w:rsidRPr="00463F80">
              <w:rPr>
                <w:rFonts w:ascii="宋体" w:hAnsi="宋体"/>
                <w:b/>
                <w:sz w:val="28"/>
                <w:szCs w:val="28"/>
              </w:rPr>
              <w:t>标</w:t>
            </w:r>
          </w:p>
        </w:tc>
      </w:tr>
      <w:tr w:rsidR="00463F80" w:rsidRPr="00463F80" w14:paraId="640BE810" w14:textId="77777777" w:rsidTr="00241B7D">
        <w:trPr>
          <w:trHeight w:val="609"/>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762FEC18" w14:textId="77777777" w:rsidR="0086736B" w:rsidRPr="00463F80" w:rsidRDefault="0086736B" w:rsidP="003E4EFF">
            <w:pPr>
              <w:spacing w:line="312" w:lineRule="auto"/>
              <w:ind w:firstLineChars="0" w:firstLine="0"/>
              <w:jc w:val="center"/>
              <w:rPr>
                <w:rFonts w:ascii="仿宋" w:eastAsia="仿宋" w:hAnsi="仿宋"/>
                <w:b/>
                <w:bCs/>
                <w:sz w:val="24"/>
                <w:szCs w:val="24"/>
              </w:rPr>
            </w:pPr>
            <w:r w:rsidRPr="00463F80">
              <w:rPr>
                <w:rFonts w:ascii="仿宋" w:eastAsia="仿宋" w:hAnsi="仿宋"/>
                <w:b/>
                <w:bCs/>
                <w:sz w:val="24"/>
                <w:szCs w:val="24"/>
              </w:rPr>
              <w:t>序号</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27815E5D" w14:textId="77777777" w:rsidR="0086736B" w:rsidRPr="00463F80" w:rsidRDefault="0086736B" w:rsidP="003E4EFF">
            <w:pPr>
              <w:spacing w:line="312" w:lineRule="auto"/>
              <w:ind w:leftChars="-51" w:left="-1" w:hangingChars="44" w:hanging="106"/>
              <w:jc w:val="center"/>
              <w:rPr>
                <w:rFonts w:ascii="仿宋" w:eastAsia="仿宋" w:hAnsi="仿宋"/>
                <w:b/>
                <w:bCs/>
                <w:sz w:val="24"/>
                <w:szCs w:val="24"/>
              </w:rPr>
            </w:pPr>
            <w:r w:rsidRPr="00463F80">
              <w:rPr>
                <w:rFonts w:ascii="仿宋" w:eastAsia="仿宋" w:hAnsi="仿宋"/>
                <w:b/>
                <w:bCs/>
                <w:sz w:val="24"/>
                <w:szCs w:val="24"/>
              </w:rPr>
              <w:t>一级指标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90DE330" w14:textId="77777777" w:rsidR="0086736B" w:rsidRPr="00463F80" w:rsidRDefault="0086736B" w:rsidP="003E4EFF">
            <w:pPr>
              <w:spacing w:line="312" w:lineRule="auto"/>
              <w:ind w:firstLineChars="22" w:firstLine="53"/>
              <w:jc w:val="center"/>
              <w:rPr>
                <w:rFonts w:ascii="仿宋" w:eastAsia="仿宋" w:hAnsi="仿宋"/>
                <w:b/>
                <w:bCs/>
                <w:sz w:val="24"/>
                <w:szCs w:val="24"/>
              </w:rPr>
            </w:pPr>
            <w:r w:rsidRPr="00463F80">
              <w:rPr>
                <w:rFonts w:ascii="仿宋" w:eastAsia="仿宋" w:hAnsi="仿宋"/>
                <w:b/>
                <w:bCs/>
                <w:sz w:val="24"/>
                <w:szCs w:val="24"/>
              </w:rPr>
              <w:t>二级指标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14D17445" w14:textId="77777777" w:rsidR="0086736B" w:rsidRPr="00463F80" w:rsidRDefault="0086736B" w:rsidP="003E4EFF">
            <w:pPr>
              <w:spacing w:line="312" w:lineRule="auto"/>
              <w:ind w:firstLineChars="13" w:firstLine="31"/>
              <w:jc w:val="center"/>
              <w:rPr>
                <w:rFonts w:ascii="仿宋" w:eastAsia="仿宋" w:hAnsi="仿宋"/>
                <w:b/>
                <w:bCs/>
                <w:sz w:val="24"/>
                <w:szCs w:val="24"/>
              </w:rPr>
            </w:pPr>
            <w:r w:rsidRPr="00463F80">
              <w:rPr>
                <w:rFonts w:ascii="仿宋" w:eastAsia="仿宋" w:hAnsi="仿宋"/>
                <w:b/>
                <w:bCs/>
                <w:sz w:val="24"/>
                <w:szCs w:val="24"/>
              </w:rPr>
              <w:t>三级指标</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426627A6" w14:textId="77777777" w:rsidR="0086736B" w:rsidRPr="00463F80" w:rsidRDefault="0086736B" w:rsidP="003E4EFF">
            <w:pPr>
              <w:spacing w:line="312" w:lineRule="auto"/>
              <w:ind w:firstLineChars="22" w:firstLine="53"/>
              <w:jc w:val="center"/>
              <w:rPr>
                <w:rFonts w:ascii="仿宋" w:eastAsia="仿宋" w:hAnsi="仿宋"/>
                <w:b/>
                <w:bCs/>
                <w:sz w:val="24"/>
                <w:szCs w:val="24"/>
              </w:rPr>
            </w:pPr>
            <w:r w:rsidRPr="00463F80">
              <w:rPr>
                <w:rFonts w:ascii="仿宋" w:eastAsia="仿宋" w:hAnsi="仿宋"/>
                <w:b/>
                <w:bCs/>
                <w:sz w:val="24"/>
                <w:szCs w:val="24"/>
              </w:rPr>
              <w:t>当年度指标值</w:t>
            </w:r>
          </w:p>
        </w:tc>
      </w:tr>
      <w:tr w:rsidR="00463F80" w:rsidRPr="00463F80" w14:paraId="638CBEE1" w14:textId="77777777" w:rsidTr="00241B7D">
        <w:trPr>
          <w:trHeight w:val="547"/>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37D2A91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27ACE9AA"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F8CD53B"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数量指标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48DD144C"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报到率（%）</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6460759C"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≥87 %</w:t>
            </w:r>
          </w:p>
        </w:tc>
      </w:tr>
      <w:tr w:rsidR="00463F80" w:rsidRPr="00463F80" w14:paraId="2EA08EFE" w14:textId="77777777" w:rsidTr="00241B7D">
        <w:trPr>
          <w:trHeight w:val="553"/>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983BC7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3DE11ACF"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7FCE5648" w14:textId="77777777" w:rsidR="0086736B" w:rsidRPr="003201D1" w:rsidRDefault="0086736B" w:rsidP="003E4EFF">
            <w:pPr>
              <w:spacing w:line="312" w:lineRule="auto"/>
              <w:ind w:firstLineChars="0" w:firstLine="0"/>
              <w:jc w:val="center"/>
              <w:rPr>
                <w:rFonts w:ascii="仿宋" w:eastAsia="仿宋" w:hAnsi="仿宋"/>
                <w:bCs/>
                <w:sz w:val="24"/>
                <w:szCs w:val="24"/>
              </w:rPr>
            </w:pPr>
            <w:r w:rsidRPr="003201D1">
              <w:rPr>
                <w:rFonts w:ascii="仿宋" w:eastAsia="仿宋" w:hAnsi="仿宋"/>
                <w:bCs/>
                <w:sz w:val="24"/>
                <w:szCs w:val="24"/>
              </w:rPr>
              <w:t>数量指标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29D0F541" w14:textId="77777777" w:rsidR="0086736B" w:rsidRPr="003201D1" w:rsidRDefault="0086736B" w:rsidP="003E4EFF">
            <w:pPr>
              <w:spacing w:line="312" w:lineRule="auto"/>
              <w:ind w:firstLineChars="0" w:firstLine="0"/>
              <w:jc w:val="center"/>
              <w:rPr>
                <w:rFonts w:ascii="仿宋" w:eastAsia="仿宋" w:hAnsi="仿宋"/>
                <w:bCs/>
                <w:sz w:val="24"/>
                <w:szCs w:val="24"/>
              </w:rPr>
            </w:pPr>
            <w:r w:rsidRPr="003201D1">
              <w:rPr>
                <w:rFonts w:ascii="仿宋" w:eastAsia="仿宋" w:hAnsi="仿宋"/>
                <w:bCs/>
                <w:sz w:val="24"/>
                <w:szCs w:val="24"/>
              </w:rPr>
              <w:t>新增学位</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505D8412" w14:textId="30229A23" w:rsidR="0086736B" w:rsidRPr="003201D1" w:rsidRDefault="00350976" w:rsidP="003E4EFF">
            <w:pPr>
              <w:spacing w:line="312" w:lineRule="auto"/>
              <w:ind w:firstLineChars="0" w:firstLine="0"/>
              <w:jc w:val="center"/>
              <w:rPr>
                <w:rFonts w:ascii="仿宋" w:eastAsia="仿宋" w:hAnsi="仿宋"/>
                <w:bCs/>
                <w:sz w:val="24"/>
                <w:szCs w:val="24"/>
              </w:rPr>
            </w:pPr>
            <w:r w:rsidRPr="003201D1">
              <w:rPr>
                <w:rFonts w:ascii="仿宋" w:eastAsia="仿宋" w:hAnsi="仿宋" w:hint="eastAsia"/>
                <w:bCs/>
                <w:sz w:val="24"/>
                <w:szCs w:val="24"/>
              </w:rPr>
              <w:t>1300</w:t>
            </w:r>
          </w:p>
        </w:tc>
      </w:tr>
      <w:tr w:rsidR="00463F80" w:rsidRPr="00463F80" w14:paraId="6101D6D7" w14:textId="77777777" w:rsidTr="00241B7D">
        <w:trPr>
          <w:trHeight w:val="562"/>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09A61B1"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3</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1DA29EB7"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02AF9D0A"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数量指标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262831D8"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高层次人才引培数</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6F0D0190"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6人</w:t>
            </w:r>
          </w:p>
        </w:tc>
      </w:tr>
      <w:tr w:rsidR="00463F80" w:rsidRPr="00463F80" w14:paraId="025DEA0F" w14:textId="77777777" w:rsidTr="00241B7D">
        <w:trPr>
          <w:trHeight w:val="556"/>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1E9BD4BE"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5B3D404F"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7D8F4E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数量指标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3937684E"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新增高等学校省级领军人才</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1DA948E3"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1人</w:t>
            </w:r>
          </w:p>
        </w:tc>
      </w:tr>
      <w:tr w:rsidR="00463F80" w:rsidRPr="00463F80" w14:paraId="6D9C39E1" w14:textId="77777777" w:rsidTr="00241B7D">
        <w:trPr>
          <w:trHeight w:val="795"/>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7E900C3"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5</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70CF2556"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5D845AF"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数量指标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6341323B" w14:textId="77777777" w:rsidR="003E4EFF"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高职“创新强校工程”</w:t>
            </w:r>
          </w:p>
          <w:p w14:paraId="64F62490" w14:textId="5730E6A9"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顺利推进</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51E587EC" w14:textId="503FC383" w:rsidR="0086736B" w:rsidRPr="00463F80" w:rsidRDefault="006B0518" w:rsidP="006B0518">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考核全省前</w:t>
            </w:r>
            <w:r w:rsidRPr="00463F80">
              <w:rPr>
                <w:rFonts w:ascii="仿宋" w:eastAsia="仿宋" w:hAnsi="仿宋" w:hint="eastAsia"/>
                <w:bCs/>
                <w:sz w:val="24"/>
                <w:szCs w:val="24"/>
              </w:rPr>
              <w:t>10名</w:t>
            </w:r>
          </w:p>
        </w:tc>
      </w:tr>
      <w:tr w:rsidR="00463F80" w:rsidRPr="00463F80" w14:paraId="4B24E6AF" w14:textId="77777777" w:rsidTr="00241B7D">
        <w:trPr>
          <w:trHeight w:val="60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1D656214"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6</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55705DF9"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2D208F3"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数量指标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5EAE36E8"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科研平台数</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6E5CE339" w14:textId="319F65FC" w:rsidR="003E4EFF"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国家级1</w:t>
            </w:r>
            <w:r w:rsidR="003E4EFF" w:rsidRPr="00463F80">
              <w:rPr>
                <w:rFonts w:ascii="仿宋" w:eastAsia="仿宋" w:hAnsi="仿宋"/>
                <w:bCs/>
                <w:sz w:val="24"/>
                <w:szCs w:val="24"/>
              </w:rPr>
              <w:t>个</w:t>
            </w:r>
          </w:p>
          <w:p w14:paraId="5C7D39F2" w14:textId="3A1745A0"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省级1</w:t>
            </w:r>
            <w:r w:rsidR="003E4EFF" w:rsidRPr="00463F80">
              <w:rPr>
                <w:rFonts w:ascii="仿宋" w:eastAsia="仿宋" w:hAnsi="仿宋"/>
                <w:bCs/>
                <w:sz w:val="24"/>
                <w:szCs w:val="24"/>
              </w:rPr>
              <w:t>个</w:t>
            </w:r>
          </w:p>
        </w:tc>
      </w:tr>
      <w:tr w:rsidR="00463F80" w:rsidRPr="00463F80" w14:paraId="1B7D162E" w14:textId="77777777" w:rsidTr="00241B7D">
        <w:trPr>
          <w:trHeight w:val="114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61B2A56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7</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1D7F8A54"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40EA774E"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可持续影响指标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7DEFCD6A"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改善办学环境，提高学校竞争力，延续可持续发展</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73A852CA" w14:textId="7CF46F9C"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强力推进“提毛计划”，“扩容”</w:t>
            </w:r>
            <w:r w:rsidR="003E4EFF" w:rsidRPr="00463F80">
              <w:rPr>
                <w:rFonts w:ascii="仿宋" w:eastAsia="仿宋" w:hAnsi="仿宋"/>
                <w:bCs/>
                <w:sz w:val="24"/>
                <w:szCs w:val="24"/>
              </w:rPr>
              <w:t>项目顺利开工，争取成为国家特高校建设单位</w:t>
            </w:r>
          </w:p>
        </w:tc>
      </w:tr>
      <w:tr w:rsidR="00463F80" w:rsidRPr="00463F80" w14:paraId="3029BE78" w14:textId="77777777" w:rsidTr="00241B7D">
        <w:trPr>
          <w:trHeight w:val="736"/>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8C8B3DC"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8</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36A8CDE6"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04EFB545"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质量指标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7B09BAD4"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高职院校基本办学条件</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3F51620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达标</w:t>
            </w:r>
          </w:p>
        </w:tc>
      </w:tr>
      <w:tr w:rsidR="00463F80" w:rsidRPr="00463F80" w14:paraId="6D6CA214" w14:textId="77777777" w:rsidTr="00241B7D">
        <w:trPr>
          <w:trHeight w:val="56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4C7CCFF8"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6B4336C8"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0C9980C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质量指标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77ED4DBE"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因贫辍学率（%）</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65CC65DC"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0</w:t>
            </w:r>
          </w:p>
        </w:tc>
      </w:tr>
      <w:tr w:rsidR="00463F80" w:rsidRPr="00463F80" w14:paraId="54274E21" w14:textId="77777777" w:rsidTr="00241B7D">
        <w:trPr>
          <w:trHeight w:val="685"/>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7B92CE73"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4A071547"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效益指标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0CC8163E"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社会效益指标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730A0D01"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2019届毕业生初次就业率</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63A1E050"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95%</w:t>
            </w:r>
          </w:p>
        </w:tc>
      </w:tr>
      <w:tr w:rsidR="00463F80" w:rsidRPr="00463F80" w14:paraId="23D7C11F" w14:textId="77777777" w:rsidTr="00241B7D">
        <w:trPr>
          <w:trHeight w:val="795"/>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02ED2581"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5EC46D59"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效益指标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0A3E4F9"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社会效益指标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1A93F5AF"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承办2018-2019年度广东省职业院校技能大赛并获奖</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3944EA28"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1项</w:t>
            </w:r>
          </w:p>
        </w:tc>
      </w:tr>
      <w:tr w:rsidR="00463F80" w:rsidRPr="00463F80" w14:paraId="1CA5015D" w14:textId="77777777" w:rsidTr="00241B7D">
        <w:trPr>
          <w:trHeight w:val="60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27188BC5"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73B6BF4F"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效益指标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44D62320"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社会效益指标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660E4BFA"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创建节约型校园</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486AB0CD" w14:textId="77777777" w:rsidR="003E4EFF"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年节约自来水</w:t>
            </w:r>
          </w:p>
          <w:p w14:paraId="4D85AF5A" w14:textId="400D8F59"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10吨以上</w:t>
            </w:r>
          </w:p>
        </w:tc>
      </w:tr>
      <w:tr w:rsidR="00463F80" w:rsidRPr="00463F80" w14:paraId="2FFC8AE8" w14:textId="77777777" w:rsidTr="00241B7D">
        <w:trPr>
          <w:trHeight w:val="628"/>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01321552"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13</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796897AB"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4B0179BE" w14:textId="77777777" w:rsidR="00241B7D"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服务满意度</w:t>
            </w:r>
          </w:p>
          <w:p w14:paraId="3C8F73C2" w14:textId="12A8404C"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6658A96C"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在校生满意度</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72688D2A"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≥80 %</w:t>
            </w:r>
          </w:p>
        </w:tc>
      </w:tr>
      <w:tr w:rsidR="00463F80" w:rsidRPr="00463F80" w14:paraId="01C8A80A" w14:textId="77777777" w:rsidTr="00241B7D">
        <w:trPr>
          <w:trHeight w:val="684"/>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0669A97F"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1E981DFE"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BB76804" w14:textId="77777777" w:rsidR="00241B7D"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服务满意度</w:t>
            </w:r>
          </w:p>
          <w:p w14:paraId="4CC35D3C" w14:textId="261E5B70"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7DDC96F7"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教职工满意度</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12988F93"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≥80 %</w:t>
            </w:r>
          </w:p>
        </w:tc>
      </w:tr>
      <w:tr w:rsidR="00463F80" w:rsidRPr="00463F80" w14:paraId="704C0494" w14:textId="77777777" w:rsidTr="00241B7D">
        <w:trPr>
          <w:trHeight w:val="708"/>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09E32C80"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15</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14:paraId="6B2EEC10"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产出指标</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75A6A66F" w14:textId="77777777" w:rsidR="00241B7D"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服务满意度</w:t>
            </w:r>
          </w:p>
          <w:p w14:paraId="0223102D" w14:textId="154BECDC"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指标</w:t>
            </w:r>
          </w:p>
        </w:tc>
        <w:tc>
          <w:tcPr>
            <w:tcW w:w="3381" w:type="dxa"/>
            <w:tcBorders>
              <w:top w:val="single" w:sz="4" w:space="0" w:color="auto"/>
              <w:left w:val="single" w:sz="4" w:space="0" w:color="auto"/>
              <w:bottom w:val="single" w:sz="4" w:space="0" w:color="auto"/>
              <w:right w:val="single" w:sz="4" w:space="0" w:color="auto"/>
            </w:tcBorders>
            <w:shd w:val="clear" w:color="auto" w:fill="FFFFFF"/>
            <w:vAlign w:val="center"/>
          </w:tcPr>
          <w:p w14:paraId="163047F8"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家长满意度</w:t>
            </w: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14:paraId="5545C2B9" w14:textId="77777777" w:rsidR="0086736B" w:rsidRPr="00463F80" w:rsidRDefault="0086736B" w:rsidP="003E4EFF">
            <w:pPr>
              <w:spacing w:line="312" w:lineRule="auto"/>
              <w:ind w:firstLineChars="0" w:firstLine="0"/>
              <w:jc w:val="center"/>
              <w:rPr>
                <w:rFonts w:ascii="仿宋" w:eastAsia="仿宋" w:hAnsi="仿宋"/>
                <w:bCs/>
                <w:sz w:val="24"/>
                <w:szCs w:val="24"/>
              </w:rPr>
            </w:pPr>
            <w:r w:rsidRPr="00463F80">
              <w:rPr>
                <w:rFonts w:ascii="仿宋" w:eastAsia="仿宋" w:hAnsi="仿宋"/>
                <w:bCs/>
                <w:sz w:val="24"/>
                <w:szCs w:val="24"/>
              </w:rPr>
              <w:t>≥80 %</w:t>
            </w:r>
          </w:p>
        </w:tc>
      </w:tr>
    </w:tbl>
    <w:p w14:paraId="09368B3C" w14:textId="36211B6E" w:rsidR="0048780F" w:rsidRPr="00463F80" w:rsidRDefault="00B60CB8" w:rsidP="00B60CB8">
      <w:pPr>
        <w:pStyle w:val="2"/>
        <w:ind w:firstLine="643"/>
        <w:rPr>
          <w:rFonts w:ascii="仿宋_GB2312" w:eastAsia="仿宋_GB2312" w:hAnsi="仿宋_GB2312"/>
        </w:rPr>
      </w:pPr>
      <w:r w:rsidRPr="00463F80">
        <w:rPr>
          <w:rFonts w:hint="eastAsia"/>
        </w:rPr>
        <w:t>四、</w:t>
      </w:r>
      <w:r w:rsidR="0043517D" w:rsidRPr="00463F80">
        <w:t>部门整体支出情况</w:t>
      </w:r>
      <w:r w:rsidR="006B2A8C" w:rsidRPr="00463F80">
        <w:rPr>
          <w:rFonts w:ascii="仿宋_GB2312" w:eastAsia="仿宋_GB2312" w:hAnsi="仿宋_GB2312"/>
        </w:rPr>
        <w:t>（以决算数为统计口径）</w:t>
      </w:r>
      <w:bookmarkEnd w:id="9"/>
    </w:p>
    <w:p w14:paraId="230C6143" w14:textId="2EEF214C" w:rsidR="00F43C2B" w:rsidRPr="00463F80" w:rsidRDefault="00653C63"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2019年我校部门整体支出38529.03万元，剔除上年专项项目结转支出69.98万元，与当年收入匹配的实际支出为38459.05万元。部门整体支出主要构成部分为工资福利支出、商品服务支出、资本性支出，分别占总支出的51.55%、19.88%、18.33%。广东工贸职业技术学院以人才培养、科学研究、社会服务、文化传承创新为基本职能，实施高等职业教育. 2019年，我校共设有专业44个，实有在职人员666人。师资人才是推动学校发展、培养高质量人才的基础性力量，是实现学校职能的必要因素，必要的人力成本需求较高，故工资福利支出占比较高。再者，根据国家相关政策，自2019年起事业单位在编人员机关事业单位基本养老保险缴纳基数大幅提高，我校需缴纳的机关事业单位基本养老保险缴费随之增加。此外，根据绩效工资和养老保险相关政策，2019年增加补交2014-2018年机关事业单位基本养老保险缴费支出1588.16万元、增加2019年职业年金缴费415.80万元、增加补发2017、2018年绩效支出3812.52万元、其他原因增加支出598.62万元，合计增加工资福利支出6415.10万元，致使学校工资福利支出金额较大。尽管2019年工资福利支出占比较大，但由于学校近10年进行新校区建设，资金比较紧张，教职工绩效工资未足额发放，学校发展负担较重，希望得到国家和上级部门在资金方面的大力支持。商品服务支出实际数为7660.41万元，占整体支出的19.88%，相对2018年，同比下降3.8个百分点。为改善我校办学条件，按合同准时支付新校区建设工程款，增加图书及教学设备购置，资本性支出有所增加，2019年占总支出18.33%，其中包含基建支出2686.77万元及债务还本支出1000万元。</w:t>
      </w:r>
    </w:p>
    <w:p w14:paraId="17AD7EB0" w14:textId="77777777" w:rsidR="0086736B" w:rsidRPr="00463F80" w:rsidRDefault="0086736B" w:rsidP="0086736B">
      <w:pPr>
        <w:snapToGrid w:val="0"/>
        <w:spacing w:line="520" w:lineRule="exact"/>
        <w:ind w:firstLine="562"/>
        <w:jc w:val="center"/>
        <w:rPr>
          <w:rFonts w:ascii="宋体" w:hAnsi="宋体"/>
          <w:b/>
          <w:sz w:val="28"/>
          <w:szCs w:val="28"/>
        </w:rPr>
      </w:pPr>
      <w:r w:rsidRPr="00463F80">
        <w:rPr>
          <w:rFonts w:ascii="宋体" w:hAnsi="宋体" w:hint="eastAsia"/>
          <w:b/>
          <w:sz w:val="28"/>
          <w:szCs w:val="28"/>
        </w:rPr>
        <w:t>表2</w:t>
      </w:r>
      <w:r w:rsidRPr="00463F80">
        <w:rPr>
          <w:rFonts w:ascii="宋体" w:hAnsi="宋体"/>
          <w:b/>
          <w:sz w:val="28"/>
          <w:szCs w:val="28"/>
        </w:rPr>
        <w:t xml:space="preserve"> </w:t>
      </w:r>
      <w:r w:rsidRPr="00463F80">
        <w:rPr>
          <w:rFonts w:ascii="宋体" w:hAnsi="宋体" w:hint="eastAsia"/>
          <w:b/>
          <w:sz w:val="28"/>
          <w:szCs w:val="28"/>
        </w:rPr>
        <w:t>2019年部门整体支出情况表</w:t>
      </w:r>
      <w:r w:rsidRPr="00463F80">
        <w:rPr>
          <w:rFonts w:ascii="宋体" w:hAnsi="宋体" w:hint="eastAsia"/>
          <w:b/>
          <w:sz w:val="24"/>
        </w:rPr>
        <w:t xml:space="preserve">   </w:t>
      </w:r>
      <w:r w:rsidRPr="00463F80">
        <w:rPr>
          <w:rFonts w:ascii="宋体" w:hAnsi="宋体" w:hint="eastAsia"/>
          <w:b/>
          <w:sz w:val="28"/>
          <w:szCs w:val="28"/>
        </w:rPr>
        <w:t>单位：万元</w:t>
      </w:r>
    </w:p>
    <w:tbl>
      <w:tblPr>
        <w:tblStyle w:val="a"/>
        <w:tblW w:w="10036" w:type="dxa"/>
        <w:tblInd w:w="-5" w:type="dxa"/>
        <w:tblLayout w:type="fixed"/>
        <w:tblLook w:val="0000" w:firstRow="0" w:lastRow="0" w:firstColumn="0" w:lastColumn="0" w:noHBand="0" w:noVBand="0"/>
      </w:tblPr>
      <w:tblGrid>
        <w:gridCol w:w="1673"/>
        <w:gridCol w:w="1125"/>
        <w:gridCol w:w="1143"/>
        <w:gridCol w:w="1394"/>
        <w:gridCol w:w="1056"/>
        <w:gridCol w:w="1377"/>
        <w:gridCol w:w="1134"/>
        <w:gridCol w:w="1134"/>
      </w:tblGrid>
      <w:tr w:rsidR="00463F80" w:rsidRPr="00463F80" w14:paraId="01B48023" w14:textId="77777777" w:rsidTr="00241B7D">
        <w:trPr>
          <w:trHeight w:val="480"/>
        </w:trPr>
        <w:tc>
          <w:tcPr>
            <w:tcW w:w="1673" w:type="dxa"/>
            <w:tcBorders>
              <w:top w:val="single" w:sz="4" w:space="0" w:color="auto"/>
              <w:left w:val="single" w:sz="4" w:space="0" w:color="auto"/>
              <w:bottom w:val="single" w:sz="4" w:space="0" w:color="auto"/>
              <w:right w:val="single" w:sz="4" w:space="0" w:color="auto"/>
            </w:tcBorders>
            <w:vAlign w:val="center"/>
          </w:tcPr>
          <w:p w14:paraId="75E1E94C" w14:textId="77777777" w:rsidR="0086736B" w:rsidRPr="00463F80" w:rsidRDefault="0086736B" w:rsidP="00241B7D">
            <w:pPr>
              <w:ind w:firstLineChars="2" w:firstLine="5"/>
              <w:jc w:val="center"/>
              <w:rPr>
                <w:rFonts w:ascii="仿宋_GB2312" w:eastAsia="仿宋_GB2312" w:hAnsi="宋体" w:cs="宋体"/>
                <w:bCs/>
                <w:kern w:val="0"/>
                <w:sz w:val="24"/>
              </w:rPr>
            </w:pPr>
            <w:r w:rsidRPr="00463F80">
              <w:rPr>
                <w:rFonts w:ascii="仿宋_GB2312" w:eastAsia="仿宋_GB2312" w:hAnsi="宋体" w:cs="宋体" w:hint="eastAsia"/>
                <w:bCs/>
                <w:kern w:val="0"/>
                <w:sz w:val="24"/>
              </w:rPr>
              <w:t>支出项目</w:t>
            </w:r>
          </w:p>
        </w:tc>
        <w:tc>
          <w:tcPr>
            <w:tcW w:w="1125" w:type="dxa"/>
            <w:tcBorders>
              <w:top w:val="single" w:sz="4" w:space="0" w:color="auto"/>
              <w:left w:val="nil"/>
              <w:bottom w:val="single" w:sz="4" w:space="0" w:color="auto"/>
              <w:right w:val="single" w:sz="4" w:space="0" w:color="auto"/>
            </w:tcBorders>
            <w:vAlign w:val="center"/>
          </w:tcPr>
          <w:p w14:paraId="76BFEDC2"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工资福利支出</w:t>
            </w:r>
          </w:p>
        </w:tc>
        <w:tc>
          <w:tcPr>
            <w:tcW w:w="1143" w:type="dxa"/>
            <w:tcBorders>
              <w:top w:val="single" w:sz="4" w:space="0" w:color="auto"/>
              <w:left w:val="nil"/>
              <w:bottom w:val="single" w:sz="4" w:space="0" w:color="auto"/>
              <w:right w:val="single" w:sz="4" w:space="0" w:color="auto"/>
            </w:tcBorders>
            <w:vAlign w:val="center"/>
          </w:tcPr>
          <w:p w14:paraId="3C1133EC"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商品服务支出</w:t>
            </w:r>
          </w:p>
        </w:tc>
        <w:tc>
          <w:tcPr>
            <w:tcW w:w="1394" w:type="dxa"/>
            <w:tcBorders>
              <w:top w:val="single" w:sz="4" w:space="0" w:color="auto"/>
              <w:left w:val="nil"/>
              <w:bottom w:val="single" w:sz="4" w:space="0" w:color="auto"/>
              <w:right w:val="single" w:sz="4" w:space="0" w:color="auto"/>
            </w:tcBorders>
            <w:vAlign w:val="center"/>
          </w:tcPr>
          <w:p w14:paraId="7B01B5BB"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对个人和家庭补助支出</w:t>
            </w:r>
          </w:p>
        </w:tc>
        <w:tc>
          <w:tcPr>
            <w:tcW w:w="1056" w:type="dxa"/>
            <w:tcBorders>
              <w:top w:val="single" w:sz="4" w:space="0" w:color="auto"/>
              <w:left w:val="nil"/>
              <w:bottom w:val="single" w:sz="4" w:space="0" w:color="auto"/>
              <w:right w:val="single" w:sz="4" w:space="0" w:color="auto"/>
            </w:tcBorders>
            <w:vAlign w:val="center"/>
          </w:tcPr>
          <w:p w14:paraId="0BA5AE57"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资本性支出</w:t>
            </w:r>
          </w:p>
        </w:tc>
        <w:tc>
          <w:tcPr>
            <w:tcW w:w="1377" w:type="dxa"/>
            <w:tcBorders>
              <w:top w:val="single" w:sz="4" w:space="0" w:color="auto"/>
              <w:left w:val="nil"/>
              <w:bottom w:val="single" w:sz="4" w:space="0" w:color="auto"/>
              <w:right w:val="single" w:sz="4" w:space="0" w:color="auto"/>
            </w:tcBorders>
            <w:vAlign w:val="center"/>
          </w:tcPr>
          <w:p w14:paraId="6E1DE631"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其中：基建支出（含还贷支出）</w:t>
            </w:r>
          </w:p>
        </w:tc>
        <w:tc>
          <w:tcPr>
            <w:tcW w:w="1134" w:type="dxa"/>
            <w:tcBorders>
              <w:top w:val="single" w:sz="4" w:space="0" w:color="auto"/>
              <w:left w:val="nil"/>
              <w:bottom w:val="single" w:sz="4" w:space="0" w:color="auto"/>
              <w:right w:val="single" w:sz="4" w:space="0" w:color="auto"/>
            </w:tcBorders>
            <w:vAlign w:val="center"/>
          </w:tcPr>
          <w:p w14:paraId="0C14D48C"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债务利息支出</w:t>
            </w:r>
          </w:p>
        </w:tc>
        <w:tc>
          <w:tcPr>
            <w:tcW w:w="1134" w:type="dxa"/>
            <w:tcBorders>
              <w:top w:val="single" w:sz="4" w:space="0" w:color="auto"/>
              <w:left w:val="nil"/>
              <w:bottom w:val="single" w:sz="4" w:space="0" w:color="auto"/>
              <w:right w:val="single" w:sz="4" w:space="0" w:color="auto"/>
            </w:tcBorders>
            <w:vAlign w:val="center"/>
          </w:tcPr>
          <w:p w14:paraId="162AC42C" w14:textId="77777777" w:rsidR="0086736B" w:rsidRPr="00463F80" w:rsidRDefault="0086736B" w:rsidP="00241B7D">
            <w:pPr>
              <w:ind w:firstLineChars="0" w:firstLine="0"/>
              <w:rPr>
                <w:rFonts w:ascii="仿宋_GB2312" w:eastAsia="仿宋_GB2312" w:hAnsi="宋体" w:cs="宋体"/>
                <w:bCs/>
                <w:kern w:val="0"/>
                <w:sz w:val="24"/>
              </w:rPr>
            </w:pPr>
            <w:r w:rsidRPr="00463F80">
              <w:rPr>
                <w:rFonts w:ascii="仿宋_GB2312" w:eastAsia="仿宋_GB2312" w:hAnsi="宋体" w:cs="宋体" w:hint="eastAsia"/>
                <w:bCs/>
                <w:kern w:val="0"/>
                <w:sz w:val="24"/>
              </w:rPr>
              <w:t>合 计</w:t>
            </w:r>
          </w:p>
        </w:tc>
      </w:tr>
      <w:tr w:rsidR="00463F80" w:rsidRPr="00463F80" w14:paraId="3ED8C883" w14:textId="77777777" w:rsidTr="00241B7D">
        <w:trPr>
          <w:trHeight w:val="270"/>
        </w:trPr>
        <w:tc>
          <w:tcPr>
            <w:tcW w:w="1673" w:type="dxa"/>
            <w:tcBorders>
              <w:top w:val="nil"/>
              <w:left w:val="single" w:sz="4" w:space="0" w:color="auto"/>
              <w:bottom w:val="single" w:sz="4" w:space="0" w:color="auto"/>
              <w:right w:val="single" w:sz="4" w:space="0" w:color="auto"/>
            </w:tcBorders>
            <w:vAlign w:val="center"/>
          </w:tcPr>
          <w:p w14:paraId="04A48261" w14:textId="77777777" w:rsidR="0086736B" w:rsidRPr="00463F80" w:rsidRDefault="0086736B" w:rsidP="00241B7D">
            <w:pPr>
              <w:ind w:firstLineChars="2" w:firstLine="5"/>
              <w:jc w:val="center"/>
              <w:rPr>
                <w:rFonts w:ascii="仿宋_GB2312" w:eastAsia="仿宋_GB2312" w:hAnsi="宋体" w:cs="宋体"/>
                <w:bCs/>
                <w:kern w:val="0"/>
                <w:sz w:val="24"/>
              </w:rPr>
            </w:pPr>
            <w:r w:rsidRPr="00463F80">
              <w:rPr>
                <w:rFonts w:ascii="仿宋_GB2312" w:eastAsia="仿宋_GB2312" w:hAnsi="宋体" w:cs="宋体" w:hint="eastAsia"/>
                <w:bCs/>
                <w:kern w:val="0"/>
                <w:sz w:val="24"/>
              </w:rPr>
              <w:t>总支出</w:t>
            </w:r>
          </w:p>
        </w:tc>
        <w:tc>
          <w:tcPr>
            <w:tcW w:w="1125" w:type="dxa"/>
            <w:tcBorders>
              <w:top w:val="nil"/>
              <w:left w:val="nil"/>
              <w:bottom w:val="single" w:sz="4" w:space="0" w:color="auto"/>
              <w:right w:val="single" w:sz="4" w:space="0" w:color="auto"/>
            </w:tcBorders>
            <w:noWrap/>
            <w:vAlign w:val="center"/>
          </w:tcPr>
          <w:p w14:paraId="362A778B" w14:textId="77777777" w:rsidR="0086736B" w:rsidRPr="00463F80" w:rsidRDefault="0086736B" w:rsidP="00241B7D">
            <w:pPr>
              <w:spacing w:line="312" w:lineRule="auto"/>
              <w:ind w:firstLineChars="13" w:firstLine="27"/>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19863.3</w:t>
            </w:r>
          </w:p>
        </w:tc>
        <w:tc>
          <w:tcPr>
            <w:tcW w:w="1143" w:type="dxa"/>
            <w:tcBorders>
              <w:top w:val="nil"/>
              <w:left w:val="nil"/>
              <w:bottom w:val="single" w:sz="4" w:space="0" w:color="auto"/>
              <w:right w:val="single" w:sz="4" w:space="0" w:color="auto"/>
            </w:tcBorders>
            <w:noWrap/>
            <w:vAlign w:val="center"/>
          </w:tcPr>
          <w:p w14:paraId="1638D1BB" w14:textId="77777777" w:rsidR="0086736B" w:rsidRPr="00463F80" w:rsidRDefault="0086736B" w:rsidP="00241B7D">
            <w:pPr>
              <w:spacing w:line="312" w:lineRule="auto"/>
              <w:ind w:firstLineChars="17" w:firstLine="36"/>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7660.41</w:t>
            </w:r>
          </w:p>
        </w:tc>
        <w:tc>
          <w:tcPr>
            <w:tcW w:w="1394" w:type="dxa"/>
            <w:tcBorders>
              <w:top w:val="nil"/>
              <w:left w:val="nil"/>
              <w:bottom w:val="single" w:sz="4" w:space="0" w:color="auto"/>
              <w:right w:val="single" w:sz="4" w:space="0" w:color="auto"/>
            </w:tcBorders>
            <w:noWrap/>
            <w:vAlign w:val="center"/>
          </w:tcPr>
          <w:p w14:paraId="1CD2B4A6" w14:textId="77777777" w:rsidR="0086736B" w:rsidRPr="00463F80" w:rsidRDefault="0086736B" w:rsidP="00241B7D">
            <w:pPr>
              <w:spacing w:line="312" w:lineRule="auto"/>
              <w:ind w:firstLineChars="0" w:firstLine="0"/>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3030.29</w:t>
            </w:r>
          </w:p>
        </w:tc>
        <w:tc>
          <w:tcPr>
            <w:tcW w:w="1056" w:type="dxa"/>
            <w:tcBorders>
              <w:top w:val="nil"/>
              <w:left w:val="nil"/>
              <w:bottom w:val="single" w:sz="4" w:space="0" w:color="auto"/>
              <w:right w:val="single" w:sz="4" w:space="0" w:color="auto"/>
            </w:tcBorders>
            <w:noWrap/>
            <w:vAlign w:val="center"/>
          </w:tcPr>
          <w:p w14:paraId="5A69033E" w14:textId="77777777" w:rsidR="0086736B" w:rsidRPr="00463F80" w:rsidRDefault="0086736B" w:rsidP="00241B7D">
            <w:pPr>
              <w:spacing w:line="312" w:lineRule="auto"/>
              <w:ind w:firstLineChars="0" w:firstLine="0"/>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7061.79</w:t>
            </w:r>
          </w:p>
        </w:tc>
        <w:tc>
          <w:tcPr>
            <w:tcW w:w="1377" w:type="dxa"/>
            <w:tcBorders>
              <w:top w:val="nil"/>
              <w:left w:val="nil"/>
              <w:bottom w:val="single" w:sz="4" w:space="0" w:color="auto"/>
              <w:right w:val="single" w:sz="4" w:space="0" w:color="auto"/>
            </w:tcBorders>
            <w:vAlign w:val="center"/>
          </w:tcPr>
          <w:p w14:paraId="09AE518B" w14:textId="77777777" w:rsidR="0086736B" w:rsidRPr="00463F80" w:rsidRDefault="0086736B" w:rsidP="00241B7D">
            <w:pPr>
              <w:spacing w:line="312" w:lineRule="auto"/>
              <w:ind w:leftChars="-3" w:left="-2" w:hangingChars="2" w:hanging="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3686.77</w:t>
            </w:r>
          </w:p>
        </w:tc>
        <w:tc>
          <w:tcPr>
            <w:tcW w:w="1134" w:type="dxa"/>
            <w:tcBorders>
              <w:top w:val="nil"/>
              <w:left w:val="nil"/>
              <w:bottom w:val="single" w:sz="4" w:space="0" w:color="auto"/>
              <w:right w:val="single" w:sz="4" w:space="0" w:color="auto"/>
            </w:tcBorders>
            <w:noWrap/>
            <w:vAlign w:val="center"/>
          </w:tcPr>
          <w:p w14:paraId="7F7B0A2C" w14:textId="77777777" w:rsidR="0086736B" w:rsidRPr="00463F80" w:rsidRDefault="0086736B" w:rsidP="00241B7D">
            <w:pPr>
              <w:spacing w:line="312" w:lineRule="auto"/>
              <w:ind w:firstLineChars="13" w:firstLine="27"/>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913.23</w:t>
            </w:r>
          </w:p>
        </w:tc>
        <w:tc>
          <w:tcPr>
            <w:tcW w:w="1134" w:type="dxa"/>
            <w:tcBorders>
              <w:top w:val="nil"/>
              <w:left w:val="nil"/>
              <w:bottom w:val="single" w:sz="4" w:space="0" w:color="auto"/>
              <w:right w:val="single" w:sz="4" w:space="0" w:color="auto"/>
            </w:tcBorders>
            <w:vAlign w:val="center"/>
          </w:tcPr>
          <w:p w14:paraId="2E424188" w14:textId="77777777" w:rsidR="0086736B" w:rsidRPr="00463F80" w:rsidRDefault="0086736B" w:rsidP="00241B7D">
            <w:pPr>
              <w:spacing w:line="312" w:lineRule="auto"/>
              <w:ind w:firstLineChars="0" w:firstLine="0"/>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38529.03</w:t>
            </w:r>
          </w:p>
        </w:tc>
      </w:tr>
      <w:tr w:rsidR="00463F80" w:rsidRPr="00463F80" w14:paraId="3BAD6EF9" w14:textId="77777777" w:rsidTr="00241B7D">
        <w:trPr>
          <w:trHeight w:val="132"/>
        </w:trPr>
        <w:tc>
          <w:tcPr>
            <w:tcW w:w="1673" w:type="dxa"/>
            <w:tcBorders>
              <w:top w:val="nil"/>
              <w:left w:val="single" w:sz="4" w:space="0" w:color="auto"/>
              <w:bottom w:val="single" w:sz="4" w:space="0" w:color="auto"/>
              <w:right w:val="single" w:sz="4" w:space="0" w:color="auto"/>
            </w:tcBorders>
            <w:vAlign w:val="center"/>
          </w:tcPr>
          <w:p w14:paraId="1D9115B8" w14:textId="77777777" w:rsidR="0086736B" w:rsidRPr="00463F80" w:rsidRDefault="0086736B" w:rsidP="00241B7D">
            <w:pPr>
              <w:ind w:firstLineChars="2" w:firstLine="5"/>
              <w:jc w:val="center"/>
              <w:rPr>
                <w:rFonts w:ascii="仿宋_GB2312" w:eastAsia="仿宋_GB2312" w:hAnsi="宋体" w:cs="宋体"/>
                <w:bCs/>
                <w:kern w:val="0"/>
                <w:sz w:val="24"/>
              </w:rPr>
            </w:pPr>
            <w:r w:rsidRPr="00463F80">
              <w:rPr>
                <w:rFonts w:ascii="仿宋_GB2312" w:eastAsia="仿宋_GB2312" w:hAnsi="宋体" w:cs="宋体" w:hint="eastAsia"/>
                <w:bCs/>
                <w:kern w:val="0"/>
                <w:sz w:val="24"/>
              </w:rPr>
              <w:t>减：上年专项项目结转支出</w:t>
            </w:r>
          </w:p>
        </w:tc>
        <w:tc>
          <w:tcPr>
            <w:tcW w:w="1125" w:type="dxa"/>
            <w:tcBorders>
              <w:top w:val="nil"/>
              <w:left w:val="nil"/>
              <w:bottom w:val="single" w:sz="4" w:space="0" w:color="auto"/>
              <w:right w:val="single" w:sz="4" w:space="0" w:color="auto"/>
            </w:tcBorders>
            <w:noWrap/>
            <w:vAlign w:val="center"/>
          </w:tcPr>
          <w:p w14:paraId="61FAFC4C"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-20.65</w:t>
            </w:r>
          </w:p>
        </w:tc>
        <w:tc>
          <w:tcPr>
            <w:tcW w:w="1143" w:type="dxa"/>
            <w:tcBorders>
              <w:top w:val="nil"/>
              <w:left w:val="nil"/>
              <w:bottom w:val="single" w:sz="4" w:space="0" w:color="auto"/>
              <w:right w:val="single" w:sz="4" w:space="0" w:color="auto"/>
            </w:tcBorders>
            <w:noWrap/>
            <w:vAlign w:val="center"/>
          </w:tcPr>
          <w:p w14:paraId="74ADE23F"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-5.41</w:t>
            </w:r>
          </w:p>
        </w:tc>
        <w:tc>
          <w:tcPr>
            <w:tcW w:w="1394" w:type="dxa"/>
            <w:tcBorders>
              <w:top w:val="nil"/>
              <w:left w:val="nil"/>
              <w:bottom w:val="single" w:sz="4" w:space="0" w:color="auto"/>
              <w:right w:val="single" w:sz="4" w:space="0" w:color="auto"/>
            </w:tcBorders>
            <w:noWrap/>
            <w:vAlign w:val="center"/>
          </w:tcPr>
          <w:p w14:paraId="4DCD87A4"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-43.92</w:t>
            </w:r>
          </w:p>
        </w:tc>
        <w:tc>
          <w:tcPr>
            <w:tcW w:w="1056" w:type="dxa"/>
            <w:tcBorders>
              <w:top w:val="nil"/>
              <w:left w:val="nil"/>
              <w:bottom w:val="single" w:sz="4" w:space="0" w:color="auto"/>
              <w:right w:val="single" w:sz="4" w:space="0" w:color="auto"/>
            </w:tcBorders>
            <w:noWrap/>
            <w:vAlign w:val="center"/>
          </w:tcPr>
          <w:p w14:paraId="60D9890D" w14:textId="77777777" w:rsidR="0086736B" w:rsidRPr="00463F80" w:rsidRDefault="0086736B" w:rsidP="00241B7D">
            <w:pPr>
              <w:ind w:firstLineChars="2" w:firstLine="4"/>
              <w:jc w:val="center"/>
              <w:rPr>
                <w:rFonts w:ascii="仿宋_GB2312" w:eastAsia="仿宋_GB2312" w:hAnsi="宋体" w:cs="宋体"/>
                <w:bCs/>
                <w:kern w:val="0"/>
                <w:szCs w:val="21"/>
              </w:rPr>
            </w:pPr>
          </w:p>
        </w:tc>
        <w:tc>
          <w:tcPr>
            <w:tcW w:w="1377" w:type="dxa"/>
            <w:tcBorders>
              <w:top w:val="nil"/>
              <w:left w:val="nil"/>
              <w:bottom w:val="single" w:sz="4" w:space="0" w:color="auto"/>
              <w:right w:val="single" w:sz="4" w:space="0" w:color="auto"/>
            </w:tcBorders>
            <w:noWrap/>
            <w:vAlign w:val="center"/>
          </w:tcPr>
          <w:p w14:paraId="146B95D6" w14:textId="77777777" w:rsidR="0086736B" w:rsidRPr="00463F80" w:rsidRDefault="0086736B" w:rsidP="00241B7D">
            <w:pPr>
              <w:ind w:firstLineChars="2" w:firstLine="4"/>
              <w:jc w:val="center"/>
              <w:rPr>
                <w:rFonts w:ascii="仿宋_GB2312" w:eastAsia="仿宋_GB2312" w:hAnsi="宋体" w:cs="宋体"/>
                <w:bCs/>
                <w:kern w:val="0"/>
                <w:szCs w:val="21"/>
              </w:rPr>
            </w:pPr>
          </w:p>
        </w:tc>
        <w:tc>
          <w:tcPr>
            <w:tcW w:w="1134" w:type="dxa"/>
            <w:tcBorders>
              <w:top w:val="nil"/>
              <w:left w:val="nil"/>
              <w:bottom w:val="single" w:sz="4" w:space="0" w:color="auto"/>
              <w:right w:val="single" w:sz="4" w:space="0" w:color="auto"/>
            </w:tcBorders>
            <w:noWrap/>
            <w:vAlign w:val="center"/>
          </w:tcPr>
          <w:p w14:paraId="7E5FEB9C" w14:textId="77777777" w:rsidR="0086736B" w:rsidRPr="00463F80" w:rsidRDefault="0086736B" w:rsidP="00241B7D">
            <w:pPr>
              <w:ind w:firstLineChars="2" w:firstLine="4"/>
              <w:jc w:val="center"/>
              <w:rPr>
                <w:rFonts w:ascii="仿宋_GB2312" w:eastAsia="仿宋_GB2312" w:hAnsi="宋体" w:cs="宋体"/>
                <w:bCs/>
                <w:kern w:val="0"/>
                <w:szCs w:val="21"/>
              </w:rPr>
            </w:pPr>
          </w:p>
        </w:tc>
        <w:tc>
          <w:tcPr>
            <w:tcW w:w="1134" w:type="dxa"/>
            <w:tcBorders>
              <w:top w:val="nil"/>
              <w:left w:val="nil"/>
              <w:bottom w:val="single" w:sz="4" w:space="0" w:color="auto"/>
              <w:right w:val="single" w:sz="4" w:space="0" w:color="auto"/>
            </w:tcBorders>
            <w:noWrap/>
            <w:vAlign w:val="center"/>
          </w:tcPr>
          <w:p w14:paraId="40DEBAB4"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-69.98</w:t>
            </w:r>
          </w:p>
        </w:tc>
      </w:tr>
      <w:tr w:rsidR="00463F80" w:rsidRPr="00463F80" w14:paraId="66728788" w14:textId="77777777" w:rsidTr="00241B7D">
        <w:trPr>
          <w:trHeight w:val="480"/>
        </w:trPr>
        <w:tc>
          <w:tcPr>
            <w:tcW w:w="1673" w:type="dxa"/>
            <w:tcBorders>
              <w:top w:val="nil"/>
              <w:left w:val="single" w:sz="4" w:space="0" w:color="auto"/>
              <w:bottom w:val="single" w:sz="4" w:space="0" w:color="auto"/>
              <w:right w:val="single" w:sz="4" w:space="0" w:color="auto"/>
            </w:tcBorders>
            <w:vAlign w:val="center"/>
          </w:tcPr>
          <w:p w14:paraId="0787094C" w14:textId="77777777" w:rsidR="0086736B" w:rsidRPr="00463F80" w:rsidRDefault="0086736B" w:rsidP="00241B7D">
            <w:pPr>
              <w:ind w:firstLineChars="2" w:firstLine="5"/>
              <w:jc w:val="center"/>
              <w:rPr>
                <w:rFonts w:ascii="仿宋_GB2312" w:eastAsia="仿宋_GB2312" w:hAnsi="宋体" w:cs="宋体"/>
                <w:bCs/>
                <w:kern w:val="0"/>
                <w:sz w:val="24"/>
              </w:rPr>
            </w:pPr>
            <w:r w:rsidRPr="00463F80">
              <w:rPr>
                <w:rFonts w:ascii="仿宋_GB2312" w:eastAsia="仿宋_GB2312" w:hAnsi="宋体" w:cs="宋体" w:hint="eastAsia"/>
                <w:bCs/>
                <w:kern w:val="0"/>
                <w:sz w:val="24"/>
              </w:rPr>
              <w:t>与当年收入匹配的实际支出</w:t>
            </w:r>
          </w:p>
        </w:tc>
        <w:tc>
          <w:tcPr>
            <w:tcW w:w="1125" w:type="dxa"/>
            <w:tcBorders>
              <w:top w:val="nil"/>
              <w:left w:val="nil"/>
              <w:bottom w:val="single" w:sz="4" w:space="0" w:color="auto"/>
              <w:right w:val="single" w:sz="4" w:space="0" w:color="auto"/>
            </w:tcBorders>
            <w:vAlign w:val="center"/>
          </w:tcPr>
          <w:p w14:paraId="627C5CFC"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19842.7</w:t>
            </w:r>
          </w:p>
        </w:tc>
        <w:tc>
          <w:tcPr>
            <w:tcW w:w="1143" w:type="dxa"/>
            <w:tcBorders>
              <w:top w:val="nil"/>
              <w:left w:val="nil"/>
              <w:bottom w:val="single" w:sz="4" w:space="0" w:color="auto"/>
              <w:right w:val="single" w:sz="4" w:space="0" w:color="auto"/>
            </w:tcBorders>
            <w:vAlign w:val="center"/>
          </w:tcPr>
          <w:p w14:paraId="5808081C"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7655</w:t>
            </w:r>
          </w:p>
        </w:tc>
        <w:tc>
          <w:tcPr>
            <w:tcW w:w="1394" w:type="dxa"/>
            <w:tcBorders>
              <w:top w:val="nil"/>
              <w:left w:val="nil"/>
              <w:bottom w:val="single" w:sz="4" w:space="0" w:color="auto"/>
              <w:right w:val="single" w:sz="4" w:space="0" w:color="auto"/>
            </w:tcBorders>
            <w:vAlign w:val="center"/>
          </w:tcPr>
          <w:p w14:paraId="472C0ED6"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2986.37</w:t>
            </w:r>
          </w:p>
        </w:tc>
        <w:tc>
          <w:tcPr>
            <w:tcW w:w="1056" w:type="dxa"/>
            <w:tcBorders>
              <w:top w:val="nil"/>
              <w:left w:val="nil"/>
              <w:bottom w:val="single" w:sz="4" w:space="0" w:color="auto"/>
              <w:right w:val="single" w:sz="4" w:space="0" w:color="auto"/>
            </w:tcBorders>
            <w:vAlign w:val="center"/>
          </w:tcPr>
          <w:p w14:paraId="0041FA78"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7061.79</w:t>
            </w:r>
          </w:p>
        </w:tc>
        <w:tc>
          <w:tcPr>
            <w:tcW w:w="1377" w:type="dxa"/>
            <w:tcBorders>
              <w:top w:val="nil"/>
              <w:left w:val="nil"/>
              <w:bottom w:val="single" w:sz="4" w:space="0" w:color="auto"/>
              <w:right w:val="single" w:sz="4" w:space="0" w:color="auto"/>
            </w:tcBorders>
            <w:vAlign w:val="center"/>
          </w:tcPr>
          <w:p w14:paraId="7E326F15"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3686.77</w:t>
            </w:r>
          </w:p>
        </w:tc>
        <w:tc>
          <w:tcPr>
            <w:tcW w:w="1134" w:type="dxa"/>
            <w:tcBorders>
              <w:top w:val="nil"/>
              <w:left w:val="nil"/>
              <w:bottom w:val="single" w:sz="4" w:space="0" w:color="auto"/>
              <w:right w:val="single" w:sz="4" w:space="0" w:color="auto"/>
            </w:tcBorders>
            <w:vAlign w:val="center"/>
          </w:tcPr>
          <w:p w14:paraId="6FDC803F"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913.23</w:t>
            </w:r>
          </w:p>
        </w:tc>
        <w:tc>
          <w:tcPr>
            <w:tcW w:w="1134" w:type="dxa"/>
            <w:tcBorders>
              <w:top w:val="nil"/>
              <w:left w:val="nil"/>
              <w:bottom w:val="single" w:sz="4" w:space="0" w:color="auto"/>
              <w:right w:val="single" w:sz="4" w:space="0" w:color="auto"/>
            </w:tcBorders>
            <w:vAlign w:val="center"/>
          </w:tcPr>
          <w:p w14:paraId="7930F6A1" w14:textId="77777777" w:rsidR="0086736B" w:rsidRPr="00463F80" w:rsidRDefault="0086736B" w:rsidP="00241B7D">
            <w:pPr>
              <w:ind w:firstLineChars="2" w:firstLine="4"/>
              <w:jc w:val="center"/>
              <w:rPr>
                <w:rFonts w:ascii="仿宋_GB2312" w:eastAsia="仿宋_GB2312" w:hAnsi="宋体" w:cs="宋体"/>
                <w:bCs/>
                <w:kern w:val="0"/>
                <w:szCs w:val="21"/>
              </w:rPr>
            </w:pPr>
            <w:r w:rsidRPr="00463F80">
              <w:rPr>
                <w:rFonts w:ascii="仿宋_GB2312" w:eastAsia="仿宋_GB2312" w:hAnsi="宋体" w:cs="宋体" w:hint="eastAsia"/>
                <w:bCs/>
                <w:kern w:val="0"/>
                <w:szCs w:val="21"/>
              </w:rPr>
              <w:t>38459.05</w:t>
            </w:r>
          </w:p>
        </w:tc>
      </w:tr>
    </w:tbl>
    <w:p w14:paraId="52C64EC9" w14:textId="77777777" w:rsidR="0086736B" w:rsidRPr="00463F80" w:rsidRDefault="0086736B" w:rsidP="00241B7D">
      <w:pPr>
        <w:ind w:firstLineChars="2" w:firstLine="5"/>
        <w:jc w:val="center"/>
        <w:rPr>
          <w:rFonts w:ascii="仿宋_GB2312" w:eastAsia="仿宋_GB2312" w:hAnsi="宋体" w:cs="宋体"/>
          <w:bCs/>
          <w:kern w:val="0"/>
          <w:sz w:val="24"/>
        </w:rPr>
      </w:pPr>
    </w:p>
    <w:p w14:paraId="1CC961D1" w14:textId="77777777" w:rsidR="0086736B" w:rsidRPr="00463F80" w:rsidRDefault="0086736B" w:rsidP="0086736B">
      <w:pPr>
        <w:snapToGrid w:val="0"/>
        <w:spacing w:line="520" w:lineRule="exact"/>
        <w:ind w:firstLine="562"/>
        <w:jc w:val="center"/>
        <w:rPr>
          <w:rFonts w:ascii="仿宋_GB2312" w:eastAsia="仿宋_GB2312" w:hAnsi="宋体" w:cs="宋体"/>
          <w:kern w:val="0"/>
          <w:sz w:val="32"/>
          <w:szCs w:val="28"/>
        </w:rPr>
      </w:pPr>
      <w:r w:rsidRPr="00463F80">
        <w:rPr>
          <w:rFonts w:ascii="宋体" w:hAnsi="宋体" w:hint="eastAsia"/>
          <w:b/>
          <w:sz w:val="28"/>
          <w:szCs w:val="28"/>
        </w:rPr>
        <w:t xml:space="preserve">表3  2019年支出构成情况明细及比例表 </w:t>
      </w:r>
      <w:r w:rsidRPr="00463F80">
        <w:rPr>
          <w:rFonts w:ascii="宋体" w:hAnsi="宋体"/>
          <w:b/>
          <w:sz w:val="28"/>
          <w:szCs w:val="28"/>
        </w:rPr>
        <w:t xml:space="preserve"> </w:t>
      </w:r>
      <w:r w:rsidRPr="00463F80">
        <w:rPr>
          <w:rFonts w:ascii="宋体" w:hAnsi="宋体" w:hint="eastAsia"/>
          <w:b/>
          <w:sz w:val="28"/>
          <w:szCs w:val="28"/>
        </w:rPr>
        <w:t>单位：万元</w:t>
      </w:r>
    </w:p>
    <w:tbl>
      <w:tblPr>
        <w:tblStyle w:val="a"/>
        <w:tblW w:w="963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3"/>
        <w:gridCol w:w="3005"/>
        <w:gridCol w:w="2862"/>
      </w:tblGrid>
      <w:tr w:rsidR="00463F80" w:rsidRPr="00463F80" w14:paraId="15DD0CAA" w14:textId="77777777" w:rsidTr="00350976">
        <w:trPr>
          <w:trHeight w:val="424"/>
        </w:trPr>
        <w:tc>
          <w:tcPr>
            <w:tcW w:w="3763" w:type="dxa"/>
            <w:vAlign w:val="center"/>
          </w:tcPr>
          <w:p w14:paraId="74BA5EDF" w14:textId="77777777" w:rsidR="0086736B" w:rsidRPr="00463F80" w:rsidRDefault="0086736B" w:rsidP="0086736B">
            <w:pPr>
              <w:ind w:firstLine="482"/>
              <w:jc w:val="center"/>
              <w:rPr>
                <w:rFonts w:ascii="仿宋_GB2312" w:eastAsia="仿宋_GB2312" w:hAnsi="宋体" w:cs="宋体"/>
                <w:b/>
                <w:bCs/>
                <w:kern w:val="0"/>
                <w:sz w:val="24"/>
              </w:rPr>
            </w:pPr>
            <w:bookmarkStart w:id="10" w:name="OLE_LINK1"/>
            <w:bookmarkStart w:id="11" w:name="OLE_LINK2"/>
            <w:r w:rsidRPr="00463F80">
              <w:rPr>
                <w:rFonts w:ascii="仿宋_GB2312" w:eastAsia="仿宋_GB2312" w:hAnsi="宋体" w:cs="宋体" w:hint="eastAsia"/>
                <w:b/>
                <w:bCs/>
                <w:kern w:val="0"/>
                <w:sz w:val="24"/>
              </w:rPr>
              <w:t>支出项目</w:t>
            </w:r>
          </w:p>
        </w:tc>
        <w:tc>
          <w:tcPr>
            <w:tcW w:w="3005" w:type="dxa"/>
            <w:vAlign w:val="center"/>
          </w:tcPr>
          <w:p w14:paraId="2CD689F3"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金额</w:t>
            </w:r>
          </w:p>
        </w:tc>
        <w:tc>
          <w:tcPr>
            <w:tcW w:w="2862" w:type="dxa"/>
            <w:vAlign w:val="center"/>
          </w:tcPr>
          <w:p w14:paraId="3D76E933"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占总支出的比例</w:t>
            </w:r>
          </w:p>
        </w:tc>
      </w:tr>
      <w:tr w:rsidR="00463F80" w:rsidRPr="00463F80" w14:paraId="057A17B7" w14:textId="77777777" w:rsidTr="00350976">
        <w:trPr>
          <w:trHeight w:val="417"/>
        </w:trPr>
        <w:tc>
          <w:tcPr>
            <w:tcW w:w="3763" w:type="dxa"/>
            <w:vAlign w:val="center"/>
          </w:tcPr>
          <w:p w14:paraId="5C3BA601"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工资福利支出</w:t>
            </w:r>
          </w:p>
        </w:tc>
        <w:tc>
          <w:tcPr>
            <w:tcW w:w="3005" w:type="dxa"/>
            <w:noWrap/>
            <w:vAlign w:val="center"/>
          </w:tcPr>
          <w:p w14:paraId="775C62CE"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19863.31</w:t>
            </w:r>
          </w:p>
        </w:tc>
        <w:tc>
          <w:tcPr>
            <w:tcW w:w="2862" w:type="dxa"/>
            <w:vAlign w:val="center"/>
          </w:tcPr>
          <w:p w14:paraId="2E476F00"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51.55%</w:t>
            </w:r>
          </w:p>
        </w:tc>
      </w:tr>
      <w:tr w:rsidR="00463F80" w:rsidRPr="00463F80" w14:paraId="22502D2C" w14:textId="77777777" w:rsidTr="00350976">
        <w:trPr>
          <w:trHeight w:val="409"/>
        </w:trPr>
        <w:tc>
          <w:tcPr>
            <w:tcW w:w="3763" w:type="dxa"/>
            <w:vAlign w:val="center"/>
          </w:tcPr>
          <w:p w14:paraId="37EC6A3F"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商品服务支出</w:t>
            </w:r>
          </w:p>
        </w:tc>
        <w:tc>
          <w:tcPr>
            <w:tcW w:w="3005" w:type="dxa"/>
            <w:noWrap/>
            <w:vAlign w:val="center"/>
          </w:tcPr>
          <w:p w14:paraId="03B4D785"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7660.41</w:t>
            </w:r>
          </w:p>
        </w:tc>
        <w:tc>
          <w:tcPr>
            <w:tcW w:w="2862" w:type="dxa"/>
            <w:vAlign w:val="center"/>
          </w:tcPr>
          <w:p w14:paraId="4BBCBA9E"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19.88%</w:t>
            </w:r>
          </w:p>
        </w:tc>
      </w:tr>
      <w:tr w:rsidR="00463F80" w:rsidRPr="00463F80" w14:paraId="3F231C86" w14:textId="77777777" w:rsidTr="00350976">
        <w:trPr>
          <w:trHeight w:val="343"/>
        </w:trPr>
        <w:tc>
          <w:tcPr>
            <w:tcW w:w="3763" w:type="dxa"/>
            <w:vAlign w:val="center"/>
          </w:tcPr>
          <w:p w14:paraId="78E1A86E"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对个人和家庭补助支出</w:t>
            </w:r>
          </w:p>
        </w:tc>
        <w:tc>
          <w:tcPr>
            <w:tcW w:w="3005" w:type="dxa"/>
            <w:noWrap/>
            <w:vAlign w:val="center"/>
          </w:tcPr>
          <w:p w14:paraId="04076DB0"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3030.29</w:t>
            </w:r>
          </w:p>
        </w:tc>
        <w:tc>
          <w:tcPr>
            <w:tcW w:w="2862" w:type="dxa"/>
            <w:vAlign w:val="center"/>
          </w:tcPr>
          <w:p w14:paraId="2C07B7CE"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7.87%</w:t>
            </w:r>
          </w:p>
        </w:tc>
      </w:tr>
      <w:tr w:rsidR="00463F80" w:rsidRPr="00463F80" w14:paraId="59D824EA" w14:textId="77777777" w:rsidTr="00350976">
        <w:trPr>
          <w:trHeight w:val="343"/>
        </w:trPr>
        <w:tc>
          <w:tcPr>
            <w:tcW w:w="3763" w:type="dxa"/>
            <w:vAlign w:val="center"/>
          </w:tcPr>
          <w:p w14:paraId="410A0D7B"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资本性支出</w:t>
            </w:r>
          </w:p>
        </w:tc>
        <w:tc>
          <w:tcPr>
            <w:tcW w:w="3005" w:type="dxa"/>
            <w:noWrap/>
            <w:vAlign w:val="center"/>
          </w:tcPr>
          <w:p w14:paraId="39B4087E"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7061.79</w:t>
            </w:r>
          </w:p>
        </w:tc>
        <w:tc>
          <w:tcPr>
            <w:tcW w:w="2862" w:type="dxa"/>
            <w:vAlign w:val="center"/>
          </w:tcPr>
          <w:p w14:paraId="4AB69753"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18.33%</w:t>
            </w:r>
          </w:p>
        </w:tc>
      </w:tr>
      <w:tr w:rsidR="00463F80" w:rsidRPr="00463F80" w14:paraId="58CBDCB2" w14:textId="77777777" w:rsidTr="00350976">
        <w:trPr>
          <w:trHeight w:val="427"/>
        </w:trPr>
        <w:tc>
          <w:tcPr>
            <w:tcW w:w="3763" w:type="dxa"/>
            <w:vAlign w:val="center"/>
          </w:tcPr>
          <w:p w14:paraId="540D1613"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其中：基建支出（含还贷支出）</w:t>
            </w:r>
          </w:p>
        </w:tc>
        <w:tc>
          <w:tcPr>
            <w:tcW w:w="3005" w:type="dxa"/>
            <w:noWrap/>
            <w:vAlign w:val="center"/>
          </w:tcPr>
          <w:p w14:paraId="1514B46A"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3686.77(1000)</w:t>
            </w:r>
          </w:p>
        </w:tc>
        <w:tc>
          <w:tcPr>
            <w:tcW w:w="2862" w:type="dxa"/>
            <w:vAlign w:val="center"/>
          </w:tcPr>
          <w:p w14:paraId="565A145B"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9.57%（2.60%）</w:t>
            </w:r>
          </w:p>
        </w:tc>
      </w:tr>
      <w:tr w:rsidR="00463F80" w:rsidRPr="00463F80" w14:paraId="5421725E" w14:textId="77777777" w:rsidTr="00350976">
        <w:trPr>
          <w:trHeight w:val="343"/>
        </w:trPr>
        <w:tc>
          <w:tcPr>
            <w:tcW w:w="3763" w:type="dxa"/>
            <w:vAlign w:val="center"/>
          </w:tcPr>
          <w:p w14:paraId="1FDE7940"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债务利息支出</w:t>
            </w:r>
          </w:p>
        </w:tc>
        <w:tc>
          <w:tcPr>
            <w:tcW w:w="3005" w:type="dxa"/>
            <w:noWrap/>
            <w:vAlign w:val="center"/>
          </w:tcPr>
          <w:p w14:paraId="34DE44E6"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913.23</w:t>
            </w:r>
          </w:p>
        </w:tc>
        <w:tc>
          <w:tcPr>
            <w:tcW w:w="2862" w:type="dxa"/>
            <w:vAlign w:val="center"/>
          </w:tcPr>
          <w:p w14:paraId="4E05EB51" w14:textId="77777777" w:rsidR="0086736B" w:rsidRPr="00463F80" w:rsidRDefault="0086736B" w:rsidP="0086736B">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2.37%</w:t>
            </w:r>
          </w:p>
        </w:tc>
      </w:tr>
      <w:tr w:rsidR="00463F80" w:rsidRPr="00463F80" w14:paraId="69882C11" w14:textId="77777777" w:rsidTr="00350976">
        <w:trPr>
          <w:trHeight w:val="343"/>
        </w:trPr>
        <w:tc>
          <w:tcPr>
            <w:tcW w:w="3763" w:type="dxa"/>
            <w:vAlign w:val="center"/>
          </w:tcPr>
          <w:p w14:paraId="222D683A"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合 计</w:t>
            </w:r>
          </w:p>
        </w:tc>
        <w:tc>
          <w:tcPr>
            <w:tcW w:w="3005" w:type="dxa"/>
            <w:vAlign w:val="center"/>
          </w:tcPr>
          <w:p w14:paraId="43043803"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38529.03</w:t>
            </w:r>
          </w:p>
        </w:tc>
        <w:tc>
          <w:tcPr>
            <w:tcW w:w="2862" w:type="dxa"/>
            <w:vAlign w:val="center"/>
          </w:tcPr>
          <w:p w14:paraId="13E594BF" w14:textId="77777777" w:rsidR="0086736B" w:rsidRPr="00463F80" w:rsidRDefault="0086736B" w:rsidP="0086736B">
            <w:pPr>
              <w:ind w:firstLine="482"/>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100%</w:t>
            </w:r>
          </w:p>
        </w:tc>
      </w:tr>
      <w:bookmarkEnd w:id="10"/>
      <w:bookmarkEnd w:id="11"/>
    </w:tbl>
    <w:p w14:paraId="280F695C" w14:textId="77777777" w:rsidR="0086736B" w:rsidRPr="00463F80" w:rsidRDefault="0086736B" w:rsidP="0086736B">
      <w:pPr>
        <w:spacing w:line="240" w:lineRule="atLeast"/>
        <w:ind w:firstLine="560"/>
        <w:jc w:val="center"/>
        <w:rPr>
          <w:rFonts w:ascii="仿宋_GB2312" w:eastAsia="仿宋_GB2312" w:hAnsi="宋体"/>
          <w:sz w:val="28"/>
          <w:szCs w:val="28"/>
        </w:rPr>
      </w:pPr>
    </w:p>
    <w:p w14:paraId="427507C8" w14:textId="77777777" w:rsidR="00A347D5" w:rsidRPr="00463F80" w:rsidRDefault="00A347D5" w:rsidP="0066256F">
      <w:pPr>
        <w:spacing w:line="240" w:lineRule="atLeast"/>
        <w:ind w:firstLine="560"/>
        <w:jc w:val="center"/>
        <w:rPr>
          <w:rFonts w:ascii="仿宋_GB2312" w:eastAsia="仿宋_GB2312" w:hAnsi="宋体"/>
          <w:sz w:val="28"/>
          <w:szCs w:val="28"/>
        </w:rPr>
      </w:pPr>
    </w:p>
    <w:p w14:paraId="2A6CDC8F" w14:textId="3C9F3304" w:rsidR="0091373B" w:rsidRPr="00463F80" w:rsidRDefault="0091373B" w:rsidP="0066256F">
      <w:pPr>
        <w:spacing w:line="240" w:lineRule="atLeast"/>
        <w:ind w:firstLine="420"/>
        <w:jc w:val="center"/>
        <w:rPr>
          <w:rFonts w:ascii="仿宋_GB2312" w:eastAsia="仿宋_GB2312" w:hAnsi="宋体"/>
          <w:sz w:val="28"/>
          <w:szCs w:val="28"/>
        </w:rPr>
      </w:pPr>
      <w:r w:rsidRPr="00463F80">
        <w:rPr>
          <w:noProof/>
        </w:rPr>
        <w:drawing>
          <wp:inline distT="0" distB="0" distL="0" distR="0" wp14:anchorId="18C1BF8D" wp14:editId="0EC556EE">
            <wp:extent cx="5283200" cy="2971800"/>
            <wp:effectExtent l="0" t="0" r="12700" b="19050"/>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BEF721" w14:textId="5BB5A193" w:rsidR="00C425E6" w:rsidRPr="00463F80" w:rsidRDefault="00C425E6" w:rsidP="0066256F">
      <w:pPr>
        <w:spacing w:line="240" w:lineRule="atLeast"/>
        <w:ind w:firstLine="562"/>
        <w:jc w:val="center"/>
        <w:rPr>
          <w:rFonts w:ascii="宋体" w:hAnsi="宋体"/>
          <w:b/>
          <w:sz w:val="28"/>
          <w:szCs w:val="28"/>
        </w:rPr>
      </w:pPr>
      <w:r w:rsidRPr="00463F80">
        <w:rPr>
          <w:rFonts w:ascii="宋体" w:hAnsi="宋体" w:hint="eastAsia"/>
          <w:b/>
          <w:sz w:val="28"/>
          <w:szCs w:val="28"/>
        </w:rPr>
        <w:t>图</w:t>
      </w:r>
      <w:r w:rsidR="00480A5B" w:rsidRPr="00463F80">
        <w:rPr>
          <w:rFonts w:ascii="宋体" w:hAnsi="宋体" w:hint="eastAsia"/>
          <w:b/>
          <w:sz w:val="28"/>
          <w:szCs w:val="28"/>
        </w:rPr>
        <w:t>1</w:t>
      </w:r>
      <w:r w:rsidRPr="00463F80">
        <w:rPr>
          <w:rFonts w:ascii="宋体" w:hAnsi="宋体"/>
          <w:b/>
          <w:sz w:val="28"/>
          <w:szCs w:val="28"/>
        </w:rPr>
        <w:t xml:space="preserve">  </w:t>
      </w:r>
      <w:r w:rsidRPr="00463F80">
        <w:rPr>
          <w:rFonts w:ascii="宋体" w:hAnsi="宋体" w:hint="eastAsia"/>
          <w:b/>
          <w:sz w:val="28"/>
          <w:szCs w:val="28"/>
        </w:rPr>
        <w:t>2019年整体支出构成情况</w:t>
      </w:r>
    </w:p>
    <w:p w14:paraId="63C19C1E" w14:textId="1F8141A3" w:rsidR="00A347D5" w:rsidRPr="00463F80" w:rsidRDefault="00A347D5" w:rsidP="00653C63">
      <w:pPr>
        <w:snapToGrid w:val="0"/>
        <w:spacing w:line="600" w:lineRule="exact"/>
        <w:ind w:firstLine="420"/>
        <w:rPr>
          <w:rFonts w:eastAsia="黑体"/>
          <w:b/>
          <w:bCs/>
          <w:kern w:val="44"/>
          <w:sz w:val="44"/>
          <w:szCs w:val="44"/>
        </w:rPr>
      </w:pPr>
      <w:r w:rsidRPr="00463F80">
        <w:br w:type="page"/>
      </w:r>
    </w:p>
    <w:p w14:paraId="0262C105" w14:textId="6FB09143" w:rsidR="0048780F" w:rsidRPr="00463F80" w:rsidRDefault="009311DC" w:rsidP="0066256F">
      <w:pPr>
        <w:pStyle w:val="1"/>
        <w:ind w:firstLine="883"/>
      </w:pPr>
      <w:bookmarkStart w:id="12" w:name="_Toc41904198"/>
      <w:r w:rsidRPr="00463F80">
        <w:rPr>
          <w:rFonts w:hint="eastAsia"/>
        </w:rPr>
        <w:t>第二部分</w:t>
      </w:r>
      <w:r w:rsidRPr="00463F80">
        <w:rPr>
          <w:rFonts w:hint="eastAsia"/>
        </w:rPr>
        <w:t xml:space="preserve"> </w:t>
      </w:r>
      <w:r w:rsidR="0043517D" w:rsidRPr="00463F80">
        <w:t>绩效自评情况</w:t>
      </w:r>
      <w:bookmarkEnd w:id="12"/>
    </w:p>
    <w:p w14:paraId="21938D13"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部门整体绩效自评等级为</w:t>
      </w:r>
      <w:r w:rsidRPr="00463F80">
        <w:rPr>
          <w:rFonts w:ascii="仿宋_GB2312" w:eastAsia="仿宋_GB2312" w:hAnsi="宋体" w:cs="Times New Roman"/>
          <w:b/>
          <w:sz w:val="32"/>
          <w:szCs w:val="32"/>
        </w:rPr>
        <w:t>优</w:t>
      </w:r>
      <w:r w:rsidRPr="00463F80">
        <w:rPr>
          <w:rFonts w:ascii="仿宋_GB2312" w:eastAsia="仿宋_GB2312" w:hAnsi="宋体" w:cs="Times New Roman"/>
          <w:sz w:val="32"/>
          <w:szCs w:val="32"/>
        </w:rPr>
        <w:t>。</w:t>
      </w:r>
    </w:p>
    <w:p w14:paraId="3497C47B"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我校高度重视此次部门整体绩效自评工作，按照分级实施、落实责任的原则，成立了绩效自评领导工作小组，制定了《广东工贸职业技术学院2020年整体绩效自评工作实施方案》，对我校所有预算项目开展绩效评价工作，由各预算项目管理部门开展绩效自评，组织专家对各预算项目进行绩效评价，绩效评价结果作为各部门、二级学院年度部门考评的重要依据。根据各预算项目绩效评价情况，整合、提炼形成我校部门整体绩效自评结果，本年度我校部门整体绩效自评等级为优。</w:t>
      </w:r>
    </w:p>
    <w:p w14:paraId="3D598477" w14:textId="38140E0D" w:rsidR="0048780F" w:rsidRPr="00463F80" w:rsidRDefault="005F28A5" w:rsidP="00FB30CF">
      <w:pPr>
        <w:pStyle w:val="2"/>
        <w:ind w:firstLine="643"/>
      </w:pPr>
      <w:bookmarkStart w:id="13" w:name="_Toc41904199"/>
      <w:r w:rsidRPr="00463F80">
        <w:rPr>
          <w:rFonts w:hint="eastAsia"/>
        </w:rPr>
        <w:t>一、</w:t>
      </w:r>
      <w:r w:rsidRPr="00463F80">
        <w:t>预算编制情况</w:t>
      </w:r>
      <w:bookmarkEnd w:id="13"/>
    </w:p>
    <w:p w14:paraId="1991F86C" w14:textId="77777777" w:rsidR="00D03DE4"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根据《广东省教育厅关于做好 2019 年部门预算编制工作的通知》（粤教财函〔2018〕123号），我校领导高度重视，加强统一组织和领导，精心组织，财务、人事及业务等部门间密切配合。相关部门依法依规、根据保障重点，节用裕民，绩效为先的原则，认真、按时的完成了我校 2019 年部门预算编制任务。</w:t>
      </w:r>
    </w:p>
    <w:p w14:paraId="56F5FA6B" w14:textId="77777777" w:rsidR="00D03DE4"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根据《广东省财政厅关于批复2020年省级部门预算的通知》（粤财预[2020] 5号）和《广东省教育厅关于批复 2020年省属学校和厅直属事业单位部门预算的通知》要求,我校对部门预算进行细化， 学校2019年校内各预算项目经</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二上二下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程序编制完成,经校长办公会议审议,学校党委会审定通过，完成我校2019年校内预算编制任务。</w:t>
      </w:r>
    </w:p>
    <w:p w14:paraId="3A408FB6" w14:textId="3594C50C"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我校部门预算编制、分配符合我校职责、符合省委省政府方针政策和工作要求的，我校部门预算资金能根据我校年度工作重点，在不同项目、不同用途之间分配合理的；专项资金编制细化程度合理，未出现因年中调剂导致部门预决算差异过大问题功能分类和经济分类编制准确，年度中间无大量调剂，项目之间是未频繁调剂的，部门预算分配不固化，能根据实际情况合理调整。</w:t>
      </w:r>
    </w:p>
    <w:p w14:paraId="59D60F35" w14:textId="706AD91D" w:rsidR="0048780F" w:rsidRPr="00463F80" w:rsidRDefault="005F28A5" w:rsidP="00B27EBE">
      <w:pPr>
        <w:pStyle w:val="3"/>
        <w:ind w:firstLine="643"/>
      </w:pPr>
      <w:bookmarkStart w:id="14" w:name="_Toc41904200"/>
      <w:r w:rsidRPr="00463F80">
        <w:rPr>
          <w:rFonts w:hint="eastAsia"/>
        </w:rPr>
        <w:t>（一）</w:t>
      </w:r>
      <w:r w:rsidR="0043517D" w:rsidRPr="00463F80">
        <w:t>部门预算收支增减变化情况</w:t>
      </w:r>
      <w:bookmarkEnd w:id="14"/>
    </w:p>
    <w:p w14:paraId="04125925"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 xml:space="preserve">2019年预算收入27067.36万元，比上年增加1562.87万元，增长6.13%，主要原因：根据《广东省发展改革委 广东省教育厅 广东省财政厅关于调整公办普通高等学校学费的通知。》粤发改价格〔2016〕367号的要求， 2018-2019学年全校学生执行调整后的学费标准，学杂费收入预算增加600万。离退休预算拨款比上年增加150万，其他事业发展性支出中的学生奖助学金、学生精准扶贫经费、学生资助补助经费预算拨款合计增加550万。 </w:t>
      </w:r>
    </w:p>
    <w:p w14:paraId="4EF2A1B4" w14:textId="111D85B2"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2019年支出预算27617.36万元，比上年增加2112.87万元，增长8.28%，其中工资福利支出、对个人和家庭的补助支出（剔除学生助学金）合计占扣除基本建设拨款支出之外的总支出的51.13%，主要原因： 2019年新增机关事业单位基本养老保险缴费1200万，大大增加了我校人员经费。为了支持学校发展，项目支出增加683万。为了保证学校各项工作的正常开展，2019年部门预算安排用事业基金弥补收支差额550万。</w:t>
      </w:r>
    </w:p>
    <w:p w14:paraId="4D32583F" w14:textId="6D5EC5F8" w:rsidR="0048780F" w:rsidRPr="00463F80" w:rsidRDefault="005F28A5" w:rsidP="00B27EBE">
      <w:pPr>
        <w:pStyle w:val="3"/>
        <w:ind w:firstLine="643"/>
      </w:pPr>
      <w:bookmarkStart w:id="15" w:name="_Toc41904201"/>
      <w:r w:rsidRPr="00463F80">
        <w:rPr>
          <w:rFonts w:hint="eastAsia"/>
        </w:rPr>
        <w:t>（二）</w:t>
      </w:r>
      <w:r w:rsidR="0043517D" w:rsidRPr="00463F80">
        <w:t>“</w:t>
      </w:r>
      <w:r w:rsidR="0043517D" w:rsidRPr="00463F80">
        <w:t>三公</w:t>
      </w:r>
      <w:r w:rsidR="0043517D" w:rsidRPr="00463F80">
        <w:t>”</w:t>
      </w:r>
      <w:r w:rsidR="0043517D" w:rsidRPr="00463F80">
        <w:t>经费安排情况说明</w:t>
      </w:r>
      <w:bookmarkEnd w:id="15"/>
    </w:p>
    <w:p w14:paraId="1F704B45"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2019年未使用一般公共预算安排三公经费。学校使用财政专户安排</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三公</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经费85万元，比上年持平，未增加。其中：因公出国（境）经费10万元，公务用车购置及运行维护费30万元（备注：公务用车购置费为0），公务接待费45万元（与上年持平）。</w:t>
      </w:r>
    </w:p>
    <w:p w14:paraId="32045C80" w14:textId="523F4198" w:rsidR="0048780F" w:rsidRPr="00463F80" w:rsidRDefault="005F28A5" w:rsidP="009F65D9">
      <w:pPr>
        <w:pStyle w:val="3"/>
        <w:ind w:firstLine="643"/>
      </w:pPr>
      <w:bookmarkStart w:id="16" w:name="_Toc41904202"/>
      <w:r w:rsidRPr="00463F80">
        <w:rPr>
          <w:rFonts w:hint="eastAsia"/>
        </w:rPr>
        <w:t>（三）</w:t>
      </w:r>
      <w:r w:rsidR="0043517D" w:rsidRPr="00463F80">
        <w:t>学校运行经费安排情况</w:t>
      </w:r>
      <w:bookmarkEnd w:id="16"/>
    </w:p>
    <w:p w14:paraId="6C5D6A72"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学校总支出27617.36万元，其中基本支出：21110.6万元，项目支出6506.7万元。总支出比上年增加2112.87万元，主要原因为2019年新增机关事业单位基本养老保险缴费1200万，离退休人员工资待遇提高，预算拨款增加150万，为了支持学校发展，自有资金安排项目支出增加683万。</w:t>
      </w:r>
    </w:p>
    <w:p w14:paraId="56C99059"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一般商品服务支出6265.97万元，比上年减少845万，主要原因学校大型基建项目减少，故水电费支出减少。开源节流，厉行节俭，其他商品服务支出减少。其他资本性支出380万，与去年基本持平。</w:t>
      </w:r>
    </w:p>
    <w:p w14:paraId="2A7B2EA0" w14:textId="2A78BF4A" w:rsidR="00A345E4" w:rsidRDefault="0043517D" w:rsidP="00A345E4">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项目支出及其他支出总额为6506.7</w:t>
      </w:r>
      <w:r w:rsidR="009D2318">
        <w:rPr>
          <w:rFonts w:ascii="仿宋_GB2312" w:eastAsia="仿宋_GB2312" w:hAnsi="宋体" w:cs="Times New Roman"/>
          <w:sz w:val="32"/>
          <w:szCs w:val="32"/>
        </w:rPr>
        <w:t>万</w:t>
      </w:r>
      <w:r w:rsidRPr="00463F80">
        <w:rPr>
          <w:rFonts w:ascii="仿宋_GB2312" w:eastAsia="仿宋_GB2312" w:hAnsi="宋体" w:cs="Times New Roman"/>
          <w:sz w:val="32"/>
          <w:szCs w:val="32"/>
        </w:rPr>
        <w:t>，比上年增加1200万，主要为其他事业发展性支出学生奖助学金、学生精准扶贫经费、学生资助补助经费预算拨款合计增加550万。</w:t>
      </w:r>
      <w:bookmarkStart w:id="17" w:name="_Toc41904203"/>
      <w:r w:rsidR="00A345E4" w:rsidRPr="00A345E4">
        <w:rPr>
          <w:rFonts w:ascii="仿宋_GB2312" w:eastAsia="仿宋_GB2312" w:hAnsi="宋体" w:cs="Times New Roman" w:hint="eastAsia"/>
          <w:sz w:val="32"/>
          <w:szCs w:val="32"/>
        </w:rPr>
        <w:t>为了促进学校发展，支持新校区建设，支付工程款尾款，新校区建设项目支出比去年增加400万。项目支出主要为专项业务类支出：用于归还贷款本金、归还贷款利息、计提贷款风险准备金、发放国家奖助学金、创新强校工程项目以及新校区建设等。</w:t>
      </w:r>
    </w:p>
    <w:p w14:paraId="026D11CE" w14:textId="52B87B21" w:rsidR="0048780F" w:rsidRPr="00463F80" w:rsidRDefault="005F28A5" w:rsidP="00A345E4">
      <w:pPr>
        <w:pStyle w:val="2"/>
        <w:ind w:firstLine="643"/>
      </w:pPr>
      <w:r w:rsidRPr="00463F80">
        <w:rPr>
          <w:rFonts w:hint="eastAsia"/>
        </w:rPr>
        <w:t>二、</w:t>
      </w:r>
      <w:r w:rsidRPr="00463F80">
        <w:t>预算执行情况</w:t>
      </w:r>
      <w:bookmarkEnd w:id="17"/>
    </w:p>
    <w:p w14:paraId="2D50AE4E" w14:textId="1BADCCCA" w:rsidR="0048780F" w:rsidRPr="00463F80" w:rsidRDefault="005F28A5" w:rsidP="00B27EBE">
      <w:pPr>
        <w:pStyle w:val="3"/>
        <w:ind w:firstLine="643"/>
      </w:pPr>
      <w:bookmarkStart w:id="18" w:name="_Toc41904204"/>
      <w:r w:rsidRPr="00463F80">
        <w:rPr>
          <w:rFonts w:hint="eastAsia"/>
        </w:rPr>
        <w:t>（一）</w:t>
      </w:r>
      <w:r w:rsidR="0043517D" w:rsidRPr="00463F80">
        <w:t>资金管理方面</w:t>
      </w:r>
      <w:bookmarkEnd w:id="18"/>
    </w:p>
    <w:p w14:paraId="0B3BAF19" w14:textId="578CAE8E" w:rsidR="0048780F" w:rsidRPr="00463F80" w:rsidRDefault="005F28A5" w:rsidP="009C7A21">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1.</w:t>
      </w:r>
      <w:r w:rsidR="0043517D" w:rsidRPr="00463F80">
        <w:rPr>
          <w:rFonts w:ascii="仿宋_GB2312" w:eastAsia="仿宋_GB2312" w:hAnsi="仿宋_GB2312"/>
          <w:b/>
          <w:bCs/>
          <w:sz w:val="32"/>
          <w:szCs w:val="32"/>
        </w:rPr>
        <w:t>部门预算资金支出率</w:t>
      </w:r>
    </w:p>
    <w:p w14:paraId="20302FFE" w14:textId="62047910" w:rsidR="00563085" w:rsidRPr="00463F80" w:rsidRDefault="00563085"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根据省财政厅对各部门开展的年度预算编制及执行情况考核的数据计算，我校全年平均执行率为103.23%</w:t>
      </w:r>
      <w:r w:rsidR="00DB5515" w:rsidRPr="00463F80">
        <w:rPr>
          <w:rFonts w:ascii="仿宋_GB2312" w:eastAsia="仿宋_GB2312" w:hAnsi="宋体" w:cs="Times New Roman" w:hint="eastAsia"/>
          <w:sz w:val="32"/>
          <w:szCs w:val="32"/>
        </w:rPr>
        <w:t>（全年平均执行率=∑（每个季度的执行率）÷4=412.9÷4=103.23%）。</w:t>
      </w:r>
      <w:r w:rsidR="00EF7580" w:rsidRPr="00463F80">
        <w:rPr>
          <w:rFonts w:ascii="仿宋_GB2312" w:eastAsia="仿宋_GB2312" w:hAnsi="宋体" w:cs="Times New Roman" w:hint="eastAsia"/>
          <w:sz w:val="32"/>
          <w:szCs w:val="32"/>
        </w:rPr>
        <w:t>见</w:t>
      </w:r>
      <w:r w:rsidR="00F62DD8" w:rsidRPr="00463F80">
        <w:rPr>
          <w:rFonts w:ascii="仿宋_GB2312" w:eastAsia="仿宋_GB2312" w:hAnsi="宋体" w:cs="Times New Roman" w:hint="eastAsia"/>
          <w:sz w:val="32"/>
          <w:szCs w:val="32"/>
        </w:rPr>
        <w:t>如</w:t>
      </w:r>
      <w:r w:rsidR="00EF7580" w:rsidRPr="00463F80">
        <w:rPr>
          <w:rFonts w:ascii="仿宋_GB2312" w:eastAsia="仿宋_GB2312" w:hAnsi="宋体" w:cs="Times New Roman" w:hint="eastAsia"/>
          <w:sz w:val="32"/>
          <w:szCs w:val="32"/>
        </w:rPr>
        <w:t>下表</w:t>
      </w:r>
      <w:r w:rsidR="00F62DD8" w:rsidRPr="00463F80">
        <w:rPr>
          <w:rFonts w:ascii="仿宋_GB2312" w:eastAsia="仿宋_GB2312" w:hAnsi="宋体" w:cs="Times New Roman" w:hint="eastAsia"/>
          <w:sz w:val="32"/>
          <w:szCs w:val="32"/>
        </w:rPr>
        <w:t>：</w:t>
      </w:r>
    </w:p>
    <w:p w14:paraId="6A731F50" w14:textId="77777777" w:rsidR="00871966" w:rsidRPr="00463F80" w:rsidRDefault="00480A5B" w:rsidP="00871966">
      <w:pPr>
        <w:spacing w:line="480" w:lineRule="auto"/>
        <w:ind w:firstLine="640"/>
        <w:rPr>
          <w:rFonts w:ascii="仿宋_GB2312" w:eastAsia="仿宋_GB2312" w:hAnsi="仿宋_GB2312"/>
          <w:b/>
          <w:sz w:val="28"/>
          <w:szCs w:val="28"/>
        </w:rPr>
      </w:pPr>
      <w:r w:rsidRPr="00463F80">
        <w:rPr>
          <w:rFonts w:ascii="仿宋_GB2312" w:eastAsia="仿宋_GB2312" w:hAnsi="仿宋_GB2312" w:hint="eastAsia"/>
          <w:bCs/>
          <w:sz w:val="32"/>
          <w:szCs w:val="32"/>
        </w:rPr>
        <w:t xml:space="preserve"> </w:t>
      </w:r>
      <w:r w:rsidRPr="00463F80">
        <w:rPr>
          <w:rFonts w:ascii="仿宋_GB2312" w:eastAsia="仿宋_GB2312" w:hAnsi="仿宋_GB2312"/>
          <w:bCs/>
          <w:sz w:val="32"/>
          <w:szCs w:val="32"/>
        </w:rPr>
        <w:t xml:space="preserve">                   </w:t>
      </w:r>
      <w:r w:rsidRPr="00463F80">
        <w:rPr>
          <w:rFonts w:ascii="仿宋_GB2312" w:eastAsia="仿宋_GB2312" w:hAnsi="仿宋_GB2312"/>
          <w:b/>
          <w:sz w:val="32"/>
          <w:szCs w:val="32"/>
        </w:rPr>
        <w:t xml:space="preserve"> </w:t>
      </w:r>
      <w:r w:rsidR="00871966" w:rsidRPr="00463F80">
        <w:rPr>
          <w:rFonts w:ascii="宋体" w:hAnsi="宋体" w:hint="eastAsia"/>
          <w:b/>
          <w:sz w:val="28"/>
          <w:szCs w:val="28"/>
        </w:rPr>
        <w:t>表4</w:t>
      </w:r>
      <w:r w:rsidR="00871966" w:rsidRPr="00463F80">
        <w:rPr>
          <w:rFonts w:ascii="宋体" w:hAnsi="宋体"/>
          <w:b/>
          <w:sz w:val="28"/>
          <w:szCs w:val="28"/>
        </w:rPr>
        <w:t xml:space="preserve">  </w:t>
      </w:r>
      <w:r w:rsidR="00871966" w:rsidRPr="00463F80">
        <w:rPr>
          <w:rFonts w:ascii="宋体" w:hAnsi="宋体" w:hint="eastAsia"/>
          <w:b/>
          <w:sz w:val="28"/>
          <w:szCs w:val="28"/>
        </w:rPr>
        <w:t>执行率表</w:t>
      </w:r>
    </w:p>
    <w:tbl>
      <w:tblPr>
        <w:tblStyle w:val="a"/>
        <w:tblW w:w="9654" w:type="dxa"/>
        <w:tblInd w:w="93" w:type="dxa"/>
        <w:tblLook w:val="04A0" w:firstRow="1" w:lastRow="0" w:firstColumn="1" w:lastColumn="0" w:noHBand="0" w:noVBand="1"/>
      </w:tblPr>
      <w:tblGrid>
        <w:gridCol w:w="2000"/>
        <w:gridCol w:w="2693"/>
        <w:gridCol w:w="2410"/>
        <w:gridCol w:w="2551"/>
      </w:tblGrid>
      <w:tr w:rsidR="00463F80" w:rsidRPr="00463F80" w14:paraId="1ED45DCF" w14:textId="77777777" w:rsidTr="00F85FAE">
        <w:trPr>
          <w:trHeight w:val="56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2630" w14:textId="77777777" w:rsidR="00871966" w:rsidRPr="00463F80" w:rsidRDefault="00871966" w:rsidP="00350976">
            <w:pPr>
              <w:ind w:firstLineChars="20" w:firstLine="48"/>
              <w:jc w:val="center"/>
              <w:rPr>
                <w:rFonts w:ascii="宋体" w:eastAsia="宋体" w:hAnsi="宋体" w:cs="宋体"/>
                <w:kern w:val="0"/>
                <w:sz w:val="24"/>
                <w:szCs w:val="24"/>
              </w:rPr>
            </w:pPr>
            <w:r w:rsidRPr="00463F80">
              <w:rPr>
                <w:rFonts w:ascii="宋体" w:eastAsia="宋体" w:hAnsi="宋体" w:cs="宋体" w:hint="eastAsia"/>
                <w:kern w:val="0"/>
                <w:sz w:val="24"/>
                <w:szCs w:val="24"/>
              </w:rPr>
              <w:t>期间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16EF61" w14:textId="77777777" w:rsidR="00871966" w:rsidRPr="00463F80" w:rsidRDefault="00871966" w:rsidP="00350976">
            <w:pPr>
              <w:ind w:firstLineChars="0" w:firstLine="0"/>
              <w:jc w:val="center"/>
              <w:rPr>
                <w:rFonts w:ascii="宋体" w:eastAsia="宋体" w:hAnsi="宋体" w:cs="宋体"/>
                <w:kern w:val="0"/>
                <w:sz w:val="24"/>
                <w:szCs w:val="24"/>
              </w:rPr>
            </w:pPr>
            <w:r w:rsidRPr="00463F80">
              <w:rPr>
                <w:rFonts w:ascii="宋体" w:eastAsia="宋体" w:hAnsi="宋体" w:cs="宋体" w:hint="eastAsia"/>
                <w:kern w:val="0"/>
                <w:sz w:val="24"/>
                <w:szCs w:val="24"/>
              </w:rPr>
              <w:t>学校总执行进度（%）</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2EA4451" w14:textId="77777777" w:rsidR="00871966" w:rsidRPr="00463F80" w:rsidRDefault="00871966" w:rsidP="00350976">
            <w:pPr>
              <w:ind w:firstLineChars="0" w:firstLine="0"/>
              <w:jc w:val="center"/>
              <w:rPr>
                <w:rFonts w:ascii="宋体" w:eastAsia="宋体" w:hAnsi="宋体" w:cs="宋体"/>
                <w:kern w:val="0"/>
                <w:sz w:val="24"/>
                <w:szCs w:val="24"/>
              </w:rPr>
            </w:pPr>
            <w:r w:rsidRPr="00463F80">
              <w:rPr>
                <w:rFonts w:ascii="宋体" w:eastAsia="宋体" w:hAnsi="宋体" w:cs="宋体" w:hint="eastAsia"/>
                <w:kern w:val="0"/>
                <w:sz w:val="24"/>
                <w:szCs w:val="24"/>
              </w:rPr>
              <w:t>序时执行进度（%）</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04B965D" w14:textId="77777777" w:rsidR="00871966" w:rsidRPr="00463F80" w:rsidRDefault="00871966" w:rsidP="00350976">
            <w:pPr>
              <w:ind w:firstLineChars="0" w:firstLine="0"/>
              <w:jc w:val="center"/>
              <w:rPr>
                <w:rFonts w:ascii="宋体" w:eastAsia="宋体" w:hAnsi="宋体" w:cs="宋体"/>
                <w:kern w:val="0"/>
                <w:sz w:val="24"/>
                <w:szCs w:val="24"/>
              </w:rPr>
            </w:pPr>
            <w:r w:rsidRPr="00463F80">
              <w:rPr>
                <w:rFonts w:ascii="宋体" w:eastAsia="宋体" w:hAnsi="宋体" w:cs="宋体" w:hint="eastAsia"/>
                <w:kern w:val="0"/>
                <w:sz w:val="24"/>
                <w:szCs w:val="24"/>
              </w:rPr>
              <w:t>分季执行率（%）</w:t>
            </w:r>
          </w:p>
        </w:tc>
      </w:tr>
      <w:tr w:rsidR="00463F80" w:rsidRPr="00463F80" w14:paraId="445B66B8" w14:textId="77777777" w:rsidTr="00350976">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41F8785"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2019年4月</w:t>
            </w:r>
          </w:p>
        </w:tc>
        <w:tc>
          <w:tcPr>
            <w:tcW w:w="2693" w:type="dxa"/>
            <w:tcBorders>
              <w:top w:val="nil"/>
              <w:left w:val="nil"/>
              <w:bottom w:val="single" w:sz="4" w:space="0" w:color="auto"/>
              <w:right w:val="single" w:sz="4" w:space="0" w:color="auto"/>
            </w:tcBorders>
            <w:shd w:val="clear" w:color="auto" w:fill="auto"/>
            <w:noWrap/>
            <w:vAlign w:val="center"/>
            <w:hideMark/>
          </w:tcPr>
          <w:p w14:paraId="589ED16E"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39.27</w:t>
            </w:r>
          </w:p>
        </w:tc>
        <w:tc>
          <w:tcPr>
            <w:tcW w:w="2410" w:type="dxa"/>
            <w:tcBorders>
              <w:top w:val="nil"/>
              <w:left w:val="nil"/>
              <w:bottom w:val="single" w:sz="4" w:space="0" w:color="auto"/>
              <w:right w:val="single" w:sz="4" w:space="0" w:color="auto"/>
            </w:tcBorders>
            <w:shd w:val="clear" w:color="auto" w:fill="auto"/>
            <w:noWrap/>
            <w:vAlign w:val="center"/>
            <w:hideMark/>
          </w:tcPr>
          <w:p w14:paraId="5FD55A2D"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33.33</w:t>
            </w:r>
          </w:p>
        </w:tc>
        <w:tc>
          <w:tcPr>
            <w:tcW w:w="2551" w:type="dxa"/>
            <w:tcBorders>
              <w:top w:val="nil"/>
              <w:left w:val="nil"/>
              <w:bottom w:val="single" w:sz="4" w:space="0" w:color="auto"/>
              <w:right w:val="single" w:sz="4" w:space="0" w:color="auto"/>
            </w:tcBorders>
            <w:shd w:val="clear" w:color="auto" w:fill="auto"/>
            <w:noWrap/>
            <w:vAlign w:val="center"/>
            <w:hideMark/>
          </w:tcPr>
          <w:p w14:paraId="16F15BCC"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117.82</w:t>
            </w:r>
          </w:p>
        </w:tc>
      </w:tr>
      <w:tr w:rsidR="00463F80" w:rsidRPr="00463F80" w14:paraId="3E5E7772" w14:textId="77777777" w:rsidTr="00350976">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18070DF"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2019年5月</w:t>
            </w:r>
          </w:p>
        </w:tc>
        <w:tc>
          <w:tcPr>
            <w:tcW w:w="2693" w:type="dxa"/>
            <w:tcBorders>
              <w:top w:val="nil"/>
              <w:left w:val="nil"/>
              <w:bottom w:val="single" w:sz="4" w:space="0" w:color="auto"/>
              <w:right w:val="single" w:sz="4" w:space="0" w:color="auto"/>
            </w:tcBorders>
            <w:shd w:val="clear" w:color="auto" w:fill="auto"/>
            <w:noWrap/>
            <w:vAlign w:val="center"/>
            <w:hideMark/>
          </w:tcPr>
          <w:p w14:paraId="3776CE30"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42.95</w:t>
            </w:r>
          </w:p>
        </w:tc>
        <w:tc>
          <w:tcPr>
            <w:tcW w:w="2410" w:type="dxa"/>
            <w:tcBorders>
              <w:top w:val="nil"/>
              <w:left w:val="nil"/>
              <w:bottom w:val="single" w:sz="4" w:space="0" w:color="auto"/>
              <w:right w:val="single" w:sz="4" w:space="0" w:color="auto"/>
            </w:tcBorders>
            <w:shd w:val="clear" w:color="auto" w:fill="auto"/>
            <w:noWrap/>
            <w:vAlign w:val="center"/>
            <w:hideMark/>
          </w:tcPr>
          <w:p w14:paraId="63D0E399"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41.67</w:t>
            </w:r>
          </w:p>
        </w:tc>
        <w:tc>
          <w:tcPr>
            <w:tcW w:w="2551" w:type="dxa"/>
            <w:tcBorders>
              <w:top w:val="nil"/>
              <w:left w:val="nil"/>
              <w:bottom w:val="single" w:sz="4" w:space="0" w:color="auto"/>
              <w:right w:val="single" w:sz="4" w:space="0" w:color="auto"/>
            </w:tcBorders>
            <w:shd w:val="clear" w:color="auto" w:fill="auto"/>
            <w:noWrap/>
            <w:vAlign w:val="center"/>
            <w:hideMark/>
          </w:tcPr>
          <w:p w14:paraId="5FB859EB"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92.53</w:t>
            </w:r>
          </w:p>
        </w:tc>
      </w:tr>
      <w:tr w:rsidR="00463F80" w:rsidRPr="00463F80" w14:paraId="2864597B" w14:textId="77777777" w:rsidTr="00350976">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919198B"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2019年7月</w:t>
            </w:r>
          </w:p>
        </w:tc>
        <w:tc>
          <w:tcPr>
            <w:tcW w:w="2693" w:type="dxa"/>
            <w:tcBorders>
              <w:top w:val="nil"/>
              <w:left w:val="nil"/>
              <w:bottom w:val="single" w:sz="4" w:space="0" w:color="auto"/>
              <w:right w:val="single" w:sz="4" w:space="0" w:color="auto"/>
            </w:tcBorders>
            <w:shd w:val="clear" w:color="auto" w:fill="auto"/>
            <w:noWrap/>
            <w:vAlign w:val="center"/>
            <w:hideMark/>
          </w:tcPr>
          <w:p w14:paraId="62F5CE1F"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53.97</w:t>
            </w:r>
          </w:p>
        </w:tc>
        <w:tc>
          <w:tcPr>
            <w:tcW w:w="2410" w:type="dxa"/>
            <w:tcBorders>
              <w:top w:val="nil"/>
              <w:left w:val="nil"/>
              <w:bottom w:val="single" w:sz="4" w:space="0" w:color="auto"/>
              <w:right w:val="single" w:sz="4" w:space="0" w:color="auto"/>
            </w:tcBorders>
            <w:shd w:val="clear" w:color="auto" w:fill="auto"/>
            <w:noWrap/>
            <w:vAlign w:val="center"/>
            <w:hideMark/>
          </w:tcPr>
          <w:p w14:paraId="0AF1794B"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58.33</w:t>
            </w:r>
          </w:p>
        </w:tc>
        <w:tc>
          <w:tcPr>
            <w:tcW w:w="2551" w:type="dxa"/>
            <w:tcBorders>
              <w:top w:val="nil"/>
              <w:left w:val="nil"/>
              <w:bottom w:val="single" w:sz="4" w:space="0" w:color="auto"/>
              <w:right w:val="single" w:sz="4" w:space="0" w:color="auto"/>
            </w:tcBorders>
            <w:shd w:val="clear" w:color="auto" w:fill="auto"/>
            <w:noWrap/>
            <w:vAlign w:val="center"/>
            <w:hideMark/>
          </w:tcPr>
          <w:p w14:paraId="6CC6F9A6"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103.07</w:t>
            </w:r>
          </w:p>
        </w:tc>
      </w:tr>
      <w:tr w:rsidR="00463F80" w:rsidRPr="00463F80" w14:paraId="0E927067" w14:textId="77777777" w:rsidTr="00350976">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CC9870C"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2019年12月</w:t>
            </w:r>
          </w:p>
        </w:tc>
        <w:tc>
          <w:tcPr>
            <w:tcW w:w="2693" w:type="dxa"/>
            <w:tcBorders>
              <w:top w:val="nil"/>
              <w:left w:val="nil"/>
              <w:bottom w:val="single" w:sz="4" w:space="0" w:color="auto"/>
              <w:right w:val="single" w:sz="4" w:space="0" w:color="auto"/>
            </w:tcBorders>
            <w:shd w:val="clear" w:color="auto" w:fill="auto"/>
            <w:noWrap/>
            <w:vAlign w:val="center"/>
            <w:hideMark/>
          </w:tcPr>
          <w:p w14:paraId="4A4E9626"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99.48</w:t>
            </w:r>
          </w:p>
        </w:tc>
        <w:tc>
          <w:tcPr>
            <w:tcW w:w="2410" w:type="dxa"/>
            <w:tcBorders>
              <w:top w:val="nil"/>
              <w:left w:val="nil"/>
              <w:bottom w:val="single" w:sz="4" w:space="0" w:color="auto"/>
              <w:right w:val="single" w:sz="4" w:space="0" w:color="auto"/>
            </w:tcBorders>
            <w:shd w:val="clear" w:color="auto" w:fill="auto"/>
            <w:noWrap/>
            <w:vAlign w:val="center"/>
            <w:hideMark/>
          </w:tcPr>
          <w:p w14:paraId="43E311E3"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100</w:t>
            </w:r>
          </w:p>
        </w:tc>
        <w:tc>
          <w:tcPr>
            <w:tcW w:w="2551" w:type="dxa"/>
            <w:tcBorders>
              <w:top w:val="nil"/>
              <w:left w:val="nil"/>
              <w:bottom w:val="single" w:sz="4" w:space="0" w:color="auto"/>
              <w:right w:val="single" w:sz="4" w:space="0" w:color="auto"/>
            </w:tcBorders>
            <w:shd w:val="clear" w:color="auto" w:fill="auto"/>
            <w:noWrap/>
            <w:vAlign w:val="center"/>
            <w:hideMark/>
          </w:tcPr>
          <w:p w14:paraId="79320262"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99.48</w:t>
            </w:r>
          </w:p>
        </w:tc>
      </w:tr>
      <w:tr w:rsidR="00463F80" w:rsidRPr="00463F80" w14:paraId="026707DB" w14:textId="77777777" w:rsidTr="00F85FAE">
        <w:trPr>
          <w:trHeight w:val="27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2EECA34"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合计</w:t>
            </w:r>
          </w:p>
        </w:tc>
        <w:tc>
          <w:tcPr>
            <w:tcW w:w="2693" w:type="dxa"/>
            <w:tcBorders>
              <w:top w:val="nil"/>
              <w:left w:val="nil"/>
              <w:bottom w:val="single" w:sz="4" w:space="0" w:color="auto"/>
              <w:right w:val="single" w:sz="4" w:space="0" w:color="auto"/>
            </w:tcBorders>
            <w:shd w:val="clear" w:color="auto" w:fill="auto"/>
            <w:noWrap/>
            <w:vAlign w:val="center"/>
            <w:hideMark/>
          </w:tcPr>
          <w:p w14:paraId="3DCFFBDE"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EFE385B"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29C4EA8E" w14:textId="77777777" w:rsidR="00871966" w:rsidRPr="00463F80" w:rsidRDefault="00871966" w:rsidP="00871966">
            <w:pPr>
              <w:spacing w:line="312" w:lineRule="auto"/>
              <w:ind w:firstLine="480"/>
              <w:jc w:val="center"/>
              <w:rPr>
                <w:rFonts w:ascii="仿宋" w:eastAsia="仿宋" w:hAnsi="仿宋"/>
                <w:sz w:val="24"/>
                <w:szCs w:val="24"/>
              </w:rPr>
            </w:pPr>
            <w:r w:rsidRPr="00463F80">
              <w:rPr>
                <w:rFonts w:ascii="仿宋" w:eastAsia="仿宋" w:hAnsi="仿宋" w:hint="eastAsia"/>
                <w:sz w:val="24"/>
                <w:szCs w:val="24"/>
              </w:rPr>
              <w:t>412.9</w:t>
            </w:r>
          </w:p>
        </w:tc>
      </w:tr>
    </w:tbl>
    <w:p w14:paraId="19A3B610" w14:textId="6DC2EFB7" w:rsidR="005F28A5" w:rsidRPr="00463F80" w:rsidRDefault="005F28A5" w:rsidP="00871966">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2.</w:t>
      </w:r>
      <w:r w:rsidR="0043517D" w:rsidRPr="00463F80">
        <w:rPr>
          <w:rFonts w:ascii="仿宋_GB2312" w:eastAsia="仿宋_GB2312" w:hAnsi="仿宋_GB2312"/>
          <w:b/>
          <w:bCs/>
          <w:sz w:val="32"/>
          <w:szCs w:val="32"/>
        </w:rPr>
        <w:t>结转结余率</w:t>
      </w:r>
    </w:p>
    <w:p w14:paraId="10730D0D" w14:textId="388C3FAE" w:rsidR="0048780F" w:rsidRPr="00463F80" w:rsidRDefault="00FE46E2"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2019年年初我校财政拨款结转结余为699812.75元，2019年年末我校财政拨款结转和结余为1338089.26元，一般公共预算财政拨款决算数为260053264.71元，结余结转率为0.51%。</w:t>
      </w:r>
    </w:p>
    <w:p w14:paraId="28C86EB6" w14:textId="6A8178D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主要原因是：增加2019年高校本专科生国家奖助学金结转</w:t>
      </w:r>
      <w:r w:rsidR="0016266B" w:rsidRPr="00463F80">
        <w:rPr>
          <w:rFonts w:ascii="仿宋_GB2312" w:eastAsia="仿宋_GB2312" w:hAnsi="宋体" w:cs="Times New Roman" w:hint="eastAsia"/>
          <w:sz w:val="32"/>
          <w:szCs w:val="32"/>
        </w:rPr>
        <w:t>673,550</w:t>
      </w:r>
      <w:r w:rsidRPr="00463F80">
        <w:rPr>
          <w:rFonts w:ascii="仿宋_GB2312" w:eastAsia="仿宋_GB2312" w:hAnsi="宋体" w:cs="Times New Roman"/>
          <w:sz w:val="32"/>
          <w:szCs w:val="32"/>
        </w:rPr>
        <w:t>元，增加2018年省直公费医疗经费清算</w:t>
      </w:r>
      <w:r w:rsidR="0016266B" w:rsidRPr="00463F80">
        <w:rPr>
          <w:rFonts w:ascii="仿宋_GB2312" w:eastAsia="仿宋_GB2312" w:hAnsi="宋体" w:cs="Times New Roman" w:hint="eastAsia"/>
          <w:sz w:val="32"/>
          <w:szCs w:val="32"/>
        </w:rPr>
        <w:t>664,539.26</w:t>
      </w:r>
      <w:r w:rsidRPr="00463F80">
        <w:rPr>
          <w:rFonts w:ascii="仿宋_GB2312" w:eastAsia="仿宋_GB2312" w:hAnsi="宋体" w:cs="Times New Roman"/>
          <w:sz w:val="32"/>
          <w:szCs w:val="32"/>
        </w:rPr>
        <w:t>元。</w:t>
      </w:r>
    </w:p>
    <w:p w14:paraId="3234C992" w14:textId="777D36D4" w:rsidR="0048780F" w:rsidRPr="00463F80" w:rsidRDefault="005F28A5" w:rsidP="009C7A21">
      <w:pPr>
        <w:spacing w:line="312" w:lineRule="auto"/>
        <w:ind w:firstLineChars="150" w:firstLine="482"/>
        <w:jc w:val="left"/>
        <w:rPr>
          <w:rFonts w:ascii="仿宋_GB2312" w:eastAsia="仿宋_GB2312" w:hAnsi="仿宋_GB2312"/>
          <w:b/>
          <w:bCs/>
          <w:sz w:val="32"/>
          <w:szCs w:val="32"/>
        </w:rPr>
      </w:pPr>
      <w:r w:rsidRPr="00463F80">
        <w:rPr>
          <w:rFonts w:ascii="仿宋_GB2312" w:eastAsia="仿宋_GB2312" w:hAnsi="仿宋_GB2312" w:hint="eastAsia"/>
          <w:b/>
          <w:bCs/>
          <w:sz w:val="32"/>
          <w:szCs w:val="32"/>
        </w:rPr>
        <w:t>3.</w:t>
      </w:r>
      <w:r w:rsidR="0043517D" w:rsidRPr="00463F80">
        <w:rPr>
          <w:rFonts w:ascii="仿宋_GB2312" w:eastAsia="仿宋_GB2312" w:hAnsi="仿宋_GB2312"/>
          <w:b/>
          <w:bCs/>
          <w:sz w:val="32"/>
          <w:szCs w:val="32"/>
        </w:rPr>
        <w:t>国库集中支付结转结余存量资金效率性</w:t>
      </w:r>
    </w:p>
    <w:p w14:paraId="5EF99F10" w14:textId="4944A952" w:rsidR="00A06ABE" w:rsidRPr="00463F80" w:rsidRDefault="00D06031"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2018年我校国库集中支付结转结余存量资金为0元（不含科研项目（课题）及当年12月下达的资金），2019年国库集中支付结转结余存量资金为0元（不含科研项目（课题）及当年12月下达的资金）</w:t>
      </w:r>
      <w:r w:rsidR="00D658CC" w:rsidRPr="00463F80">
        <w:rPr>
          <w:rFonts w:ascii="仿宋_GB2312" w:eastAsia="仿宋_GB2312" w:hAnsi="宋体" w:cs="Times New Roman" w:hint="eastAsia"/>
          <w:sz w:val="32"/>
          <w:szCs w:val="32"/>
        </w:rPr>
        <w:t>。</w:t>
      </w:r>
    </w:p>
    <w:p w14:paraId="6CA4C639" w14:textId="77777777" w:rsidR="005F28A5" w:rsidRPr="00463F80" w:rsidRDefault="005F28A5" w:rsidP="009C7A21">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4.</w:t>
      </w:r>
      <w:r w:rsidR="0043517D" w:rsidRPr="00463F80">
        <w:rPr>
          <w:rFonts w:ascii="仿宋_GB2312" w:eastAsia="仿宋_GB2312" w:hAnsi="仿宋_GB2312"/>
          <w:b/>
          <w:bCs/>
          <w:sz w:val="32"/>
          <w:szCs w:val="32"/>
        </w:rPr>
        <w:t>政府采购执行率</w:t>
      </w:r>
    </w:p>
    <w:p w14:paraId="768EA954" w14:textId="08557936"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2019年政府采购实际金额合计数4289.54万元，采购计划金额合计数4994.18万元，政府采购执行率=（实际采购金额合计数/采购计划金额合计数）</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100%=85.89%。主要原因是政府采购金额有节约。采购过程合法合规，改进措施是做好采购之前的充分调研及询价，把采购预算做得更精确。</w:t>
      </w:r>
    </w:p>
    <w:p w14:paraId="5A02EE4E" w14:textId="55D14ADA" w:rsidR="0048780F" w:rsidRPr="00463F80" w:rsidRDefault="005F28A5" w:rsidP="009C7A21">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5.</w:t>
      </w:r>
      <w:r w:rsidR="0043517D" w:rsidRPr="00463F80">
        <w:rPr>
          <w:rFonts w:ascii="仿宋_GB2312" w:eastAsia="仿宋_GB2312" w:hAnsi="仿宋_GB2312"/>
          <w:b/>
          <w:bCs/>
          <w:sz w:val="32"/>
          <w:szCs w:val="32"/>
        </w:rPr>
        <w:t>财务合规性方面</w:t>
      </w:r>
    </w:p>
    <w:p w14:paraId="115F6FC6" w14:textId="77777777" w:rsidR="00064E1D" w:rsidRPr="00463F80" w:rsidRDefault="005B0D74"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2019年我校按规定履行预算调整报批手续，且按事项完成进度支付资金，资金管理、费用标准、支付符合有关制度，没有超范围、超标准支出，没有虚列、截留、挤占、挪用资金。会计核算规范，按规定专账核算，严格执行“三重一大”制度，重大项目支出经过评估论证和必要的决策程序。</w:t>
      </w:r>
    </w:p>
    <w:p w14:paraId="3D7D0AAA" w14:textId="154FBB7A"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2019年，学校持续强化财务制度执行。积极贯彻</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三重一大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制度要求，严格落实财务预算、决算和大额资金使用经学校党委会议或院长办公会议集体研究决策制度。财务工作向教代会报告制度；严格执行学校财务报销审批制度，规范支出标准，控制支出范围，杜绝不按经济合同执行、无预算和超预算支出；严肃财经纪律、严格财务管理，多措并举，严控公务支出；接受2017-2018年财务收支审计，针对发现的问题坚持立行立改、即知即改，坚持实事求是，坚持立足长效、稳步推进原则进行整改。通过以查促改，以查促建，建立长效机制，不断规范财务管理。促进学校财务治理体系不断完善。</w:t>
      </w:r>
    </w:p>
    <w:p w14:paraId="372FD1E6" w14:textId="3A5DD660"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我校所有的基建工程项目均列入年度计划，十万元及以上金额的项目实行公开招标，严格执行国家、省级工程招投标规定；对纳入政府采购目录及达到政府采购限额标准的采购项目，严格执行政府采购预算和程序；对课题费、评审费、专家授课费等严格按流程及标准开支；各项开支严格执行年度预算，并按规定公开预决算信息。</w:t>
      </w:r>
    </w:p>
    <w:p w14:paraId="409440DE" w14:textId="0E75D46B" w:rsidR="0048780F" w:rsidRPr="00463F80" w:rsidRDefault="005F28A5" w:rsidP="009C7A21">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6.</w:t>
      </w:r>
      <w:r w:rsidR="0043517D" w:rsidRPr="00463F80">
        <w:rPr>
          <w:rFonts w:ascii="仿宋_GB2312" w:eastAsia="仿宋_GB2312" w:hAnsi="仿宋_GB2312"/>
          <w:b/>
          <w:bCs/>
          <w:sz w:val="32"/>
          <w:szCs w:val="32"/>
        </w:rPr>
        <w:t>资金项目安排合法性</w:t>
      </w:r>
    </w:p>
    <w:p w14:paraId="539419BB" w14:textId="294705AB" w:rsidR="00D25CD5" w:rsidRPr="00463F80" w:rsidRDefault="00D25CD5" w:rsidP="009C7A21">
      <w:pPr>
        <w:spacing w:line="480" w:lineRule="auto"/>
        <w:ind w:firstLine="640"/>
        <w:rPr>
          <w:rFonts w:ascii="仿宋_GB2312" w:eastAsia="仿宋_GB2312" w:hAnsi="仿宋_GB2312"/>
          <w:sz w:val="32"/>
          <w:szCs w:val="32"/>
        </w:rPr>
      </w:pPr>
      <w:r w:rsidRPr="00463F80">
        <w:rPr>
          <w:rFonts w:ascii="仿宋_GB2312" w:eastAsia="仿宋_GB2312" w:hAnsi="仿宋_GB2312" w:hint="eastAsia"/>
          <w:sz w:val="32"/>
          <w:szCs w:val="32"/>
        </w:rPr>
        <w:t>我校属于无转移支付资金部门。</w:t>
      </w:r>
    </w:p>
    <w:p w14:paraId="01FB533B" w14:textId="77777777" w:rsidR="005F28A5" w:rsidRPr="00463F80" w:rsidRDefault="005F28A5" w:rsidP="009C7A21">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7.</w:t>
      </w:r>
      <w:r w:rsidR="0043517D" w:rsidRPr="00463F80">
        <w:rPr>
          <w:rFonts w:ascii="仿宋_GB2312" w:eastAsia="仿宋_GB2312" w:hAnsi="仿宋_GB2312"/>
          <w:b/>
          <w:bCs/>
          <w:sz w:val="32"/>
          <w:szCs w:val="32"/>
        </w:rPr>
        <w:t>预决算信息公开性方面</w:t>
      </w:r>
    </w:p>
    <w:p w14:paraId="5D85E319" w14:textId="21B4A061" w:rsidR="00D03DE4"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2019年，学校持续规范财务运行。进一步完善财务内部管理与监督职能，明确岗位责任，强化工作职责，夯实工作作风，提高工作效率，树立优质服务理念，提升理财能力；加大财务信息公开，</w:t>
      </w:r>
      <w:r w:rsidR="00692722" w:rsidRPr="00463F80">
        <w:rPr>
          <w:rFonts w:ascii="仿宋_GB2312" w:eastAsia="仿宋_GB2312" w:hAnsi="宋体" w:cs="Times New Roman" w:hint="eastAsia"/>
          <w:sz w:val="32"/>
          <w:szCs w:val="32"/>
        </w:rPr>
        <w:t>按规定内容、在规定时限和范围内对</w:t>
      </w:r>
      <w:r w:rsidRPr="00463F80">
        <w:rPr>
          <w:rFonts w:ascii="仿宋_GB2312" w:eastAsia="仿宋_GB2312" w:hAnsi="宋体" w:cs="Times New Roman"/>
          <w:sz w:val="32"/>
          <w:szCs w:val="32"/>
        </w:rPr>
        <w:t>学校2018年决算、2019年预算等分别在学校信息公开网进行了公开、公示。</w:t>
      </w:r>
    </w:p>
    <w:p w14:paraId="356BAAD0" w14:textId="5593FF9B" w:rsidR="00D03DE4" w:rsidRPr="00463F80" w:rsidRDefault="008822FF" w:rsidP="00B27EBE">
      <w:pPr>
        <w:pStyle w:val="3"/>
        <w:ind w:firstLine="643"/>
      </w:pPr>
      <w:bookmarkStart w:id="19" w:name="_Toc41904205"/>
      <w:r w:rsidRPr="00463F80">
        <w:rPr>
          <w:rFonts w:hint="eastAsia"/>
        </w:rPr>
        <w:t>（二）</w:t>
      </w:r>
      <w:r w:rsidR="0043517D" w:rsidRPr="00463F80">
        <w:t>项目管理方面</w:t>
      </w:r>
      <w:bookmarkEnd w:id="19"/>
    </w:p>
    <w:p w14:paraId="6776210D" w14:textId="27815E6B" w:rsidR="00D03DE4" w:rsidRPr="00463F80" w:rsidRDefault="008822FF" w:rsidP="009C7A21">
      <w:pPr>
        <w:spacing w:line="480" w:lineRule="auto"/>
        <w:ind w:firstLineChars="250" w:firstLine="803"/>
        <w:rPr>
          <w:rFonts w:ascii="仿宋_GB2312" w:eastAsia="仿宋_GB2312" w:hAnsi="仿宋_GB2312"/>
          <w:sz w:val="32"/>
          <w:szCs w:val="32"/>
        </w:rPr>
      </w:pPr>
      <w:r w:rsidRPr="00463F80">
        <w:rPr>
          <w:rFonts w:ascii="仿宋_GB2312" w:eastAsia="仿宋_GB2312" w:hAnsi="仿宋_GB2312" w:hint="eastAsia"/>
          <w:b/>
          <w:bCs/>
          <w:sz w:val="32"/>
          <w:szCs w:val="32"/>
        </w:rPr>
        <w:t>1.</w:t>
      </w:r>
      <w:r w:rsidR="007B4487" w:rsidRPr="00463F80">
        <w:rPr>
          <w:rFonts w:ascii="仿宋_GB2312" w:eastAsia="仿宋_GB2312" w:hAnsi="仿宋_GB2312" w:hint="eastAsia"/>
          <w:b/>
          <w:bCs/>
          <w:sz w:val="32"/>
          <w:szCs w:val="32"/>
        </w:rPr>
        <w:t>项目实施程序</w:t>
      </w:r>
    </w:p>
    <w:p w14:paraId="592E8425" w14:textId="77777777" w:rsidR="00D03DE4" w:rsidRPr="00463F80" w:rsidRDefault="00484607" w:rsidP="009F65D9">
      <w:pPr>
        <w:spacing w:line="560" w:lineRule="exact"/>
        <w:ind w:firstLine="640"/>
        <w:rPr>
          <w:rFonts w:ascii="仿宋_GB2312" w:eastAsia="仿宋_GB2312" w:hAnsi="仿宋_GB2312"/>
          <w:sz w:val="32"/>
          <w:szCs w:val="32"/>
        </w:rPr>
      </w:pPr>
      <w:r w:rsidRPr="00463F80">
        <w:rPr>
          <w:rFonts w:ascii="仿宋_GB2312" w:eastAsia="仿宋_GB2312" w:hAnsi="宋体" w:cs="Times New Roman" w:hint="eastAsia"/>
          <w:sz w:val="32"/>
          <w:szCs w:val="32"/>
        </w:rPr>
        <w:t>2019年，</w:t>
      </w:r>
      <w:r w:rsidR="007B4487" w:rsidRPr="00463F80">
        <w:rPr>
          <w:rFonts w:ascii="仿宋_GB2312" w:eastAsia="仿宋_GB2312" w:hAnsi="宋体" w:cs="Times New Roman" w:hint="eastAsia"/>
          <w:sz w:val="32"/>
          <w:szCs w:val="32"/>
        </w:rPr>
        <w:t>我校项目的设立及调整按规定履行报批程序，项目招投标、建设、验收等或方案实施严格执行相关制度规定。</w:t>
      </w:r>
    </w:p>
    <w:p w14:paraId="333EE35F" w14:textId="6DC3F621" w:rsidR="00D03DE4" w:rsidRPr="00463F80" w:rsidRDefault="008822FF" w:rsidP="009C7A21">
      <w:pPr>
        <w:spacing w:line="480" w:lineRule="auto"/>
        <w:ind w:firstLineChars="250" w:firstLine="803"/>
        <w:rPr>
          <w:rFonts w:ascii="仿宋_GB2312" w:eastAsia="仿宋_GB2312" w:hAnsi="仿宋_GB2312"/>
          <w:sz w:val="32"/>
          <w:szCs w:val="32"/>
        </w:rPr>
      </w:pPr>
      <w:r w:rsidRPr="00463F80">
        <w:rPr>
          <w:rFonts w:ascii="仿宋_GB2312" w:eastAsia="仿宋_GB2312" w:hAnsi="仿宋_GB2312" w:hint="eastAsia"/>
          <w:b/>
          <w:bCs/>
          <w:sz w:val="32"/>
          <w:szCs w:val="32"/>
        </w:rPr>
        <w:t>2.</w:t>
      </w:r>
      <w:r w:rsidR="00484607" w:rsidRPr="00463F80">
        <w:rPr>
          <w:rFonts w:ascii="仿宋_GB2312" w:eastAsia="仿宋_GB2312" w:hAnsi="仿宋_GB2312" w:hint="eastAsia"/>
          <w:b/>
          <w:bCs/>
          <w:sz w:val="32"/>
          <w:szCs w:val="32"/>
        </w:rPr>
        <w:t>项目</w:t>
      </w:r>
      <w:r w:rsidR="007474D7" w:rsidRPr="00463F80">
        <w:rPr>
          <w:rFonts w:ascii="仿宋_GB2312" w:eastAsia="仿宋_GB2312" w:hAnsi="仿宋_GB2312" w:hint="eastAsia"/>
          <w:b/>
          <w:bCs/>
          <w:sz w:val="32"/>
          <w:szCs w:val="32"/>
        </w:rPr>
        <w:t>监管</w:t>
      </w:r>
    </w:p>
    <w:p w14:paraId="72BE0E54" w14:textId="6AB65679" w:rsidR="00D03DE4" w:rsidRPr="00463F80" w:rsidRDefault="00995B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各级业务主管部门通过专项审计和国库支付系统、财务监管等信息系统和专项审计对我校项目进行了有效的检查和全过程监督，及时进行风险提示，保障了项目资金的使用规范、安全。业务主管部门按季度通报部门预算单位国库集中支付资金支出进度情况，督促项目使用部门加快执行进度。2019年广东省教育厅对我校开展了2019年广东省教育政策落实情况专项审计调查工作，帮助我校提升管理水平。</w:t>
      </w:r>
    </w:p>
    <w:p w14:paraId="10B7E395" w14:textId="6D7D6856" w:rsidR="008822FF" w:rsidRPr="00463F80" w:rsidRDefault="008822FF" w:rsidP="00B27EBE">
      <w:pPr>
        <w:pStyle w:val="3"/>
        <w:ind w:firstLine="643"/>
      </w:pPr>
      <w:bookmarkStart w:id="20" w:name="_Toc41904206"/>
      <w:r w:rsidRPr="00463F80">
        <w:rPr>
          <w:rFonts w:hint="eastAsia"/>
        </w:rPr>
        <w:t>（三）</w:t>
      </w:r>
      <w:r w:rsidR="0043517D" w:rsidRPr="00463F80">
        <w:t>资产情况分析</w:t>
      </w:r>
      <w:bookmarkEnd w:id="20"/>
    </w:p>
    <w:p w14:paraId="7BC177D2" w14:textId="77777777" w:rsidR="008822FF" w:rsidRPr="00463F80" w:rsidRDefault="008822FF" w:rsidP="0066256F">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1.</w:t>
      </w:r>
      <w:r w:rsidR="0043517D" w:rsidRPr="00463F80">
        <w:rPr>
          <w:rFonts w:ascii="仿宋_GB2312" w:eastAsia="仿宋_GB2312" w:hAnsi="仿宋_GB2312"/>
          <w:b/>
          <w:bCs/>
          <w:sz w:val="32"/>
          <w:szCs w:val="32"/>
        </w:rPr>
        <w:t>资产总量及构成情况</w:t>
      </w:r>
    </w:p>
    <w:p w14:paraId="282B4E7D" w14:textId="481EA149"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截至2019年12月31日，我校国有资产总额为119,809.49万元。由以下五部分构成：</w:t>
      </w:r>
    </w:p>
    <w:p w14:paraId="206ED0F4" w14:textId="4C9C53B3"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（1）</w:t>
      </w:r>
      <w:r w:rsidR="0043517D" w:rsidRPr="00463F80">
        <w:rPr>
          <w:rFonts w:ascii="仿宋_GB2312" w:eastAsia="仿宋_GB2312" w:hAnsi="宋体" w:cs="Times New Roman"/>
          <w:sz w:val="32"/>
          <w:szCs w:val="32"/>
        </w:rPr>
        <w:t>流动资产：19,468.68万元，占资产总额16.25%，主要为货币资金：14,729.59万元、财政应返还额度：133.81万元、预付账款：3,052.35万元，其他应收款净额：1,538.44万元、存货：14.48万元；</w:t>
      </w:r>
    </w:p>
    <w:p w14:paraId="5652D550" w14:textId="71BA1BF7"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w:t>
      </w:r>
      <w:r w:rsidR="0043517D" w:rsidRPr="00463F80">
        <w:rPr>
          <w:rFonts w:ascii="仿宋_GB2312" w:eastAsia="仿宋_GB2312" w:hAnsi="宋体" w:cs="Times New Roman"/>
          <w:sz w:val="32"/>
          <w:szCs w:val="32"/>
        </w:rPr>
        <w:t>在建工程：42,364.98万元，占资产总额35.36%，主要为白云校区工程41,076.61万元，天河校区：1,288.36万元；</w:t>
      </w:r>
    </w:p>
    <w:p w14:paraId="42CE5280" w14:textId="71E31C90"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（3）</w:t>
      </w:r>
      <w:r w:rsidR="0043517D" w:rsidRPr="00463F80">
        <w:rPr>
          <w:rFonts w:ascii="仿宋_GB2312" w:eastAsia="仿宋_GB2312" w:hAnsi="宋体" w:cs="Times New Roman"/>
          <w:sz w:val="32"/>
          <w:szCs w:val="32"/>
        </w:rPr>
        <w:t>受托代理资产：167.52万元，占资产总额0.13%；</w:t>
      </w:r>
    </w:p>
    <w:p w14:paraId="003FDCAF" w14:textId="355B101B"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（4）</w:t>
      </w:r>
      <w:r w:rsidR="0043517D" w:rsidRPr="00463F80">
        <w:rPr>
          <w:rFonts w:ascii="仿宋_GB2312" w:eastAsia="仿宋_GB2312" w:hAnsi="宋体" w:cs="Times New Roman"/>
          <w:sz w:val="32"/>
          <w:szCs w:val="32"/>
        </w:rPr>
        <w:t>无形资产原值5.642万元，累计折旧0.78万元，净值：4.86万元，占资产总额0.01%。主要为专利类净值：3.06万元和著作权类净值1.8万元。</w:t>
      </w:r>
    </w:p>
    <w:p w14:paraId="2D01D36F" w14:textId="2F3E111D"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（5）</w:t>
      </w:r>
      <w:r w:rsidR="0043517D" w:rsidRPr="00463F80">
        <w:rPr>
          <w:rFonts w:ascii="仿宋_GB2312" w:eastAsia="仿宋_GB2312" w:hAnsi="宋体" w:cs="Times New Roman"/>
          <w:sz w:val="32"/>
          <w:szCs w:val="32"/>
        </w:rPr>
        <w:t>固定资产原值73,790.96万元，累计折旧15,987.5万元，净值：57,803.45万元，占资产总额48.25%。主要包括土地、房屋及构筑物、通用设备、专用设备、文物和陈列品、图书和档案及家具用具装具和动植物。见表</w:t>
      </w:r>
      <w:r w:rsidR="00480A5B" w:rsidRPr="00463F80">
        <w:rPr>
          <w:rFonts w:ascii="仿宋_GB2312" w:eastAsia="仿宋_GB2312" w:hAnsi="宋体" w:cs="Times New Roman" w:hint="eastAsia"/>
          <w:sz w:val="32"/>
          <w:szCs w:val="32"/>
        </w:rPr>
        <w:t>5</w:t>
      </w:r>
      <w:r w:rsidR="0043517D" w:rsidRPr="00463F80">
        <w:rPr>
          <w:rFonts w:ascii="仿宋_GB2312" w:eastAsia="仿宋_GB2312" w:hAnsi="宋体" w:cs="Times New Roman"/>
          <w:sz w:val="32"/>
          <w:szCs w:val="32"/>
        </w:rPr>
        <w:t>：</w:t>
      </w:r>
    </w:p>
    <w:p w14:paraId="6C9899AA" w14:textId="50F8B60C" w:rsidR="0048780F" w:rsidRPr="00463F80" w:rsidRDefault="0043517D" w:rsidP="0066256F">
      <w:pPr>
        <w:spacing w:line="480" w:lineRule="auto"/>
        <w:ind w:firstLine="562"/>
        <w:jc w:val="center"/>
        <w:rPr>
          <w:rFonts w:ascii="仿宋_GB2312" w:eastAsia="仿宋_GB2312" w:hAnsi="仿宋_GB2312"/>
          <w:sz w:val="28"/>
          <w:szCs w:val="28"/>
        </w:rPr>
      </w:pPr>
      <w:r w:rsidRPr="00463F80">
        <w:rPr>
          <w:rFonts w:ascii="宋体" w:hAnsi="宋体"/>
          <w:b/>
          <w:sz w:val="28"/>
          <w:szCs w:val="28"/>
        </w:rPr>
        <w:t>表</w:t>
      </w:r>
      <w:r w:rsidR="00480A5B" w:rsidRPr="00463F80">
        <w:rPr>
          <w:rFonts w:ascii="宋体" w:hAnsi="宋体" w:hint="eastAsia"/>
          <w:b/>
          <w:sz w:val="28"/>
          <w:szCs w:val="28"/>
        </w:rPr>
        <w:t>5</w:t>
      </w:r>
      <w:r w:rsidR="00A06ABE" w:rsidRPr="00463F80">
        <w:rPr>
          <w:rFonts w:ascii="宋体" w:hAnsi="宋体"/>
          <w:b/>
          <w:sz w:val="28"/>
          <w:szCs w:val="28"/>
        </w:rPr>
        <w:t xml:space="preserve"> </w:t>
      </w:r>
      <w:r w:rsidRPr="00463F80">
        <w:rPr>
          <w:rFonts w:ascii="宋体" w:hAnsi="宋体"/>
          <w:b/>
          <w:sz w:val="28"/>
          <w:szCs w:val="28"/>
        </w:rPr>
        <w:t xml:space="preserve"> 2019年固定资产综合统计表</w:t>
      </w:r>
      <w:r w:rsidR="00A347D5" w:rsidRPr="00463F80">
        <w:rPr>
          <w:rFonts w:ascii="宋体" w:hAnsi="宋体" w:hint="eastAsia"/>
          <w:b/>
          <w:sz w:val="28"/>
          <w:szCs w:val="28"/>
        </w:rPr>
        <w:t xml:space="preserve"> </w:t>
      </w:r>
      <w:r w:rsidR="00A347D5" w:rsidRPr="00463F80">
        <w:rPr>
          <w:rFonts w:ascii="宋体" w:hAnsi="宋体"/>
          <w:b/>
          <w:sz w:val="28"/>
          <w:szCs w:val="28"/>
        </w:rPr>
        <w:t xml:space="preserve"> </w:t>
      </w:r>
      <w:r w:rsidRPr="00463F80">
        <w:rPr>
          <w:rFonts w:ascii="宋体" w:hAnsi="宋体"/>
          <w:b/>
          <w:sz w:val="28"/>
          <w:szCs w:val="28"/>
        </w:rPr>
        <w:t>单位：件、万元</w:t>
      </w:r>
    </w:p>
    <w:p w14:paraId="354C08D1" w14:textId="77777777" w:rsidR="0048780F" w:rsidRPr="00463F80" w:rsidRDefault="0043517D" w:rsidP="0066256F">
      <w:pPr>
        <w:spacing w:line="480" w:lineRule="auto"/>
        <w:ind w:firstLine="420"/>
        <w:jc w:val="center"/>
        <w:rPr>
          <w:rFonts w:ascii="仿宋_GB2312" w:eastAsia="仿宋_GB2312" w:hAnsi="仿宋_GB2312"/>
          <w:sz w:val="32"/>
          <w:szCs w:val="32"/>
        </w:rPr>
      </w:pPr>
      <w:r w:rsidRPr="00463F80">
        <w:rPr>
          <w:rFonts w:ascii="微软雅黑" w:eastAsia="微软雅黑" w:hAnsi="微软雅黑"/>
          <w:noProof/>
          <w:szCs w:val="21"/>
        </w:rPr>
        <w:drawing>
          <wp:inline distT="0" distB="0" distL="0" distR="0" wp14:anchorId="45099235" wp14:editId="5E64CA38">
            <wp:extent cx="5266102" cy="22563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0173" cy="2266625"/>
                    </a:xfrm>
                    <a:prstGeom prst="rect">
                      <a:avLst/>
                    </a:prstGeom>
                  </pic:spPr>
                </pic:pic>
              </a:graphicData>
            </a:graphic>
          </wp:inline>
        </w:drawing>
      </w:r>
    </w:p>
    <w:p w14:paraId="0C1E1000" w14:textId="45F7C345" w:rsidR="00A347D5"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ab/>
        <w:t>由表</w:t>
      </w:r>
      <w:r w:rsidR="00480A5B" w:rsidRPr="00463F80">
        <w:rPr>
          <w:rFonts w:ascii="仿宋_GB2312" w:eastAsia="仿宋_GB2312" w:hAnsi="宋体" w:cs="Times New Roman" w:hint="eastAsia"/>
          <w:sz w:val="32"/>
          <w:szCs w:val="32"/>
        </w:rPr>
        <w:t>5</w:t>
      </w:r>
      <w:r w:rsidRPr="00463F80">
        <w:rPr>
          <w:rFonts w:ascii="仿宋_GB2312" w:eastAsia="仿宋_GB2312" w:hAnsi="宋体" w:cs="Times New Roman"/>
          <w:sz w:val="32"/>
          <w:szCs w:val="32"/>
        </w:rPr>
        <w:t>看出，其中房屋及构筑物原值：47,905.65万元，占固定资产总额64.921%；通用设备：16,556.98万元，占固定资产总额22.438%；专用设备：4,353.92万元，占固定资产总额5.9%；文物及陈列品：2.44万元，占固定资产总额0.003%；图书：1,622.72万元，占固定资产总额2.199%；家具：3,349.25万元，占固定资产总额4.539%。</w:t>
      </w:r>
    </w:p>
    <w:p w14:paraId="7A96DEDB" w14:textId="5672C5E0" w:rsidR="0048780F" w:rsidRPr="00463F80" w:rsidRDefault="008822FF" w:rsidP="00A347D5">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2.</w:t>
      </w:r>
      <w:r w:rsidR="0043517D" w:rsidRPr="00463F80">
        <w:rPr>
          <w:rFonts w:ascii="仿宋_GB2312" w:eastAsia="仿宋_GB2312" w:hAnsi="仿宋_GB2312"/>
          <w:b/>
          <w:bCs/>
          <w:sz w:val="32"/>
          <w:szCs w:val="32"/>
        </w:rPr>
        <w:t>固定资产增减变动情况</w:t>
      </w:r>
    </w:p>
    <w:p w14:paraId="0AF8D38F" w14:textId="20E5856D" w:rsidR="0048780F" w:rsidRPr="00463F80" w:rsidRDefault="0043517D" w:rsidP="0066256F">
      <w:pPr>
        <w:spacing w:line="480" w:lineRule="auto"/>
        <w:ind w:leftChars="304" w:left="638" w:firstLine="562"/>
        <w:jc w:val="center"/>
        <w:rPr>
          <w:rFonts w:ascii="仿宋_GB2312" w:eastAsia="仿宋_GB2312" w:hAnsi="仿宋_GB2312"/>
          <w:sz w:val="28"/>
          <w:szCs w:val="28"/>
        </w:rPr>
      </w:pPr>
      <w:r w:rsidRPr="00463F80">
        <w:rPr>
          <w:rFonts w:ascii="宋体" w:hAnsi="宋体"/>
          <w:b/>
          <w:sz w:val="28"/>
          <w:szCs w:val="28"/>
        </w:rPr>
        <w:t>表</w:t>
      </w:r>
      <w:r w:rsidR="00480A5B" w:rsidRPr="00463F80">
        <w:rPr>
          <w:rFonts w:ascii="宋体" w:hAnsi="宋体" w:hint="eastAsia"/>
          <w:b/>
          <w:sz w:val="28"/>
          <w:szCs w:val="28"/>
        </w:rPr>
        <w:t>6</w:t>
      </w:r>
      <w:r w:rsidRPr="00463F80">
        <w:rPr>
          <w:rFonts w:ascii="宋体" w:hAnsi="宋体"/>
          <w:b/>
          <w:sz w:val="28"/>
          <w:szCs w:val="28"/>
        </w:rPr>
        <w:t xml:space="preserve"> </w:t>
      </w:r>
      <w:r w:rsidR="00A06ABE" w:rsidRPr="00463F80">
        <w:rPr>
          <w:rFonts w:ascii="宋体" w:hAnsi="宋体"/>
          <w:b/>
          <w:sz w:val="28"/>
          <w:szCs w:val="28"/>
        </w:rPr>
        <w:t xml:space="preserve">  </w:t>
      </w:r>
      <w:r w:rsidRPr="00463F80">
        <w:rPr>
          <w:rFonts w:ascii="宋体" w:hAnsi="宋体"/>
          <w:b/>
          <w:sz w:val="28"/>
          <w:szCs w:val="28"/>
        </w:rPr>
        <w:t>固定资产变动情况表</w:t>
      </w:r>
      <w:r w:rsidR="00A347D5" w:rsidRPr="00463F80">
        <w:rPr>
          <w:rFonts w:ascii="宋体" w:hAnsi="宋体" w:hint="eastAsia"/>
          <w:b/>
          <w:sz w:val="28"/>
          <w:szCs w:val="28"/>
        </w:rPr>
        <w:t xml:space="preserve"> </w:t>
      </w:r>
      <w:r w:rsidR="00A347D5" w:rsidRPr="00463F80">
        <w:rPr>
          <w:rFonts w:ascii="宋体" w:hAnsi="宋体"/>
          <w:b/>
          <w:sz w:val="28"/>
          <w:szCs w:val="28"/>
        </w:rPr>
        <w:t xml:space="preserve">  </w:t>
      </w:r>
      <w:r w:rsidRPr="00463F80">
        <w:rPr>
          <w:rFonts w:ascii="宋体" w:hAnsi="宋体"/>
          <w:b/>
          <w:sz w:val="28"/>
          <w:szCs w:val="28"/>
        </w:rPr>
        <w:t>单位：件、万元</w:t>
      </w:r>
    </w:p>
    <w:p w14:paraId="06D8BFAA" w14:textId="77777777" w:rsidR="0048780F" w:rsidRPr="00463F80" w:rsidRDefault="0043517D" w:rsidP="0066256F">
      <w:pPr>
        <w:spacing w:line="480" w:lineRule="auto"/>
        <w:ind w:firstLine="420"/>
        <w:jc w:val="center"/>
        <w:rPr>
          <w:rFonts w:ascii="仿宋_GB2312" w:eastAsia="仿宋_GB2312" w:hAnsi="仿宋_GB2312"/>
          <w:sz w:val="32"/>
          <w:szCs w:val="32"/>
        </w:rPr>
      </w:pPr>
      <w:r w:rsidRPr="00463F80">
        <w:rPr>
          <w:rFonts w:ascii="微软雅黑" w:eastAsia="微软雅黑" w:hAnsi="微软雅黑"/>
          <w:noProof/>
          <w:szCs w:val="21"/>
        </w:rPr>
        <w:drawing>
          <wp:inline distT="0" distB="0" distL="0" distR="0" wp14:anchorId="3CC2B7BC" wp14:editId="7FCB1DC8">
            <wp:extent cx="5270499" cy="2422566"/>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stretch>
                      <a:fillRect/>
                    </a:stretch>
                  </pic:blipFill>
                  <pic:spPr>
                    <a:xfrm>
                      <a:off x="0" y="0"/>
                      <a:ext cx="5282056" cy="2427878"/>
                    </a:xfrm>
                    <a:prstGeom prst="rect">
                      <a:avLst/>
                    </a:prstGeom>
                  </pic:spPr>
                </pic:pic>
              </a:graphicData>
            </a:graphic>
          </wp:inline>
        </w:drawing>
      </w:r>
    </w:p>
    <w:p w14:paraId="443D7E67" w14:textId="0C184C48"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由表</w:t>
      </w:r>
      <w:r w:rsidR="00480A5B" w:rsidRPr="00463F80">
        <w:rPr>
          <w:rFonts w:ascii="仿宋_GB2312" w:eastAsia="仿宋_GB2312" w:hAnsi="宋体" w:cs="Times New Roman" w:hint="eastAsia"/>
          <w:sz w:val="32"/>
          <w:szCs w:val="32"/>
        </w:rPr>
        <w:t>6</w:t>
      </w:r>
      <w:r w:rsidRPr="00463F80">
        <w:rPr>
          <w:rFonts w:ascii="仿宋_GB2312" w:eastAsia="仿宋_GB2312" w:hAnsi="宋体" w:cs="Times New Roman"/>
          <w:sz w:val="32"/>
          <w:szCs w:val="32"/>
        </w:rPr>
        <w:t>看出，2019年我校新增固定资产29,064.00件，共计10,953.02万元；减少527件，共计250.63万元，相比上一年增长16.96%。其中土地、房屋及构筑物增加37项，共计7,523.88万元，减少5件（其中三件为土地，转入无形资产），共计4.4万元，相比上一年增长18.62%；通用设备增加1,216.00件，共计3,010.97万元，减少427件，共计211.64万元，相比上一年增长20.35%；专用设备增加68件，共计63.66万元，减少62件，共计32.86万元，相比上一年增长0.7%；文物和陈列品增加2件，共计0.9万元，相比上一年增长58.44%；图书、档案增加24,006.00册，共计96.91万元，相比上一年增长6.35%；家具、用具、装具及动植物增加3,735.00件，共计256.70万元，减少33件，共计1.73万元，相比上一年增长8.24%。</w:t>
      </w:r>
    </w:p>
    <w:p w14:paraId="0626FE41" w14:textId="7C6C8A04" w:rsidR="0048780F" w:rsidRPr="00463F80" w:rsidRDefault="008822FF" w:rsidP="00A347D5">
      <w:pPr>
        <w:spacing w:line="520" w:lineRule="exact"/>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3.</w:t>
      </w:r>
      <w:r w:rsidR="0043517D" w:rsidRPr="00463F80">
        <w:rPr>
          <w:rFonts w:ascii="仿宋_GB2312" w:eastAsia="仿宋_GB2312" w:hAnsi="仿宋_GB2312"/>
          <w:b/>
          <w:bCs/>
          <w:sz w:val="32"/>
          <w:szCs w:val="32"/>
        </w:rPr>
        <w:t>我校主要资产配置、使用、处置情况</w:t>
      </w:r>
    </w:p>
    <w:p w14:paraId="20F4A602"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经认真统计、对比，我单位填报的资产情况报表数据与2019年度部门决算报表数据基本相符，资产状况良好。</w:t>
      </w:r>
    </w:p>
    <w:p w14:paraId="64915C83" w14:textId="32DCFCDD"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（1）</w:t>
      </w:r>
      <w:r w:rsidR="0043517D" w:rsidRPr="00463F80">
        <w:rPr>
          <w:rFonts w:ascii="仿宋_GB2312" w:eastAsia="仿宋_GB2312" w:hAnsi="宋体" w:cs="Times New Roman"/>
          <w:sz w:val="32"/>
          <w:szCs w:val="32"/>
        </w:rPr>
        <w:t>我校主要资产配置情况</w:t>
      </w:r>
    </w:p>
    <w:p w14:paraId="3796F9DD"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我校按照财政的具体要求，科学合理做好资产配置，满足了全校16435名学生正常教学需要和782名教职工工资福利发放需求，2019年专项资金完成率达99.10%。</w:t>
      </w:r>
    </w:p>
    <w:p w14:paraId="2CE83958" w14:textId="6B2BAD78"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我校2019年总资产为119,809.49万元比2018年115,377.02万元增长3.84%，其中2019年流动资产总额为19,468.68万元比2018年15,640.58万元增长24.48%，固定资产增长率为16.96%；使用6个月以上未转固在建工程价值占在建工程价值比3.04%；有房产证的房屋面积占房屋总面积比4.28%；人均占有办公室使用面积6.35㎡；车改保留车辆占车辆实有数量100%；有土地证面积占土地面积100%（见图</w:t>
      </w:r>
      <w:r w:rsidR="00C425E6" w:rsidRPr="00463F80">
        <w:rPr>
          <w:rFonts w:ascii="仿宋_GB2312" w:eastAsia="仿宋_GB2312" w:hAnsi="宋体" w:cs="Times New Roman" w:hint="eastAsia"/>
          <w:sz w:val="32"/>
          <w:szCs w:val="32"/>
        </w:rPr>
        <w:t>2</w:t>
      </w:r>
      <w:r w:rsidRPr="00463F80">
        <w:rPr>
          <w:rFonts w:ascii="仿宋_GB2312" w:eastAsia="仿宋_GB2312" w:hAnsi="宋体" w:cs="Times New Roman"/>
          <w:sz w:val="32"/>
          <w:szCs w:val="32"/>
        </w:rPr>
        <w:t>）</w:t>
      </w:r>
      <w:r w:rsidR="00C425E6" w:rsidRPr="00463F80">
        <w:rPr>
          <w:rFonts w:ascii="仿宋_GB2312" w:eastAsia="仿宋_GB2312" w:hAnsi="宋体" w:cs="Times New Roman" w:hint="eastAsia"/>
          <w:sz w:val="32"/>
          <w:szCs w:val="32"/>
        </w:rPr>
        <w:t>。</w:t>
      </w:r>
    </w:p>
    <w:p w14:paraId="05AAB3FB" w14:textId="77777777" w:rsidR="00A347D5" w:rsidRPr="00463F80" w:rsidRDefault="00A347D5" w:rsidP="00A347D5">
      <w:pPr>
        <w:spacing w:line="520" w:lineRule="exact"/>
        <w:ind w:firstLine="640"/>
        <w:rPr>
          <w:rFonts w:ascii="仿宋_GB2312" w:eastAsia="仿宋_GB2312" w:hAnsi="宋体" w:cs="Times New Roman"/>
          <w:sz w:val="32"/>
          <w:szCs w:val="32"/>
        </w:rPr>
      </w:pPr>
    </w:p>
    <w:p w14:paraId="63ECC2A1" w14:textId="77777777" w:rsidR="0048780F" w:rsidRPr="00463F80" w:rsidRDefault="0043517D" w:rsidP="0066256F">
      <w:pPr>
        <w:spacing w:line="480" w:lineRule="auto"/>
        <w:ind w:firstLine="420"/>
        <w:jc w:val="center"/>
        <w:rPr>
          <w:rFonts w:ascii="仿宋_GB2312" w:eastAsia="仿宋_GB2312" w:hAnsi="仿宋_GB2312"/>
          <w:sz w:val="32"/>
          <w:szCs w:val="32"/>
        </w:rPr>
      </w:pPr>
      <w:r w:rsidRPr="00463F80">
        <w:rPr>
          <w:rFonts w:ascii="微软雅黑" w:eastAsia="微软雅黑" w:hAnsi="微软雅黑"/>
          <w:noProof/>
          <w:szCs w:val="21"/>
        </w:rPr>
        <w:drawing>
          <wp:inline distT="0" distB="0" distL="0" distR="0" wp14:anchorId="0CE5C3E5" wp14:editId="6598CF60">
            <wp:extent cx="5274310" cy="33468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stretch>
                      <a:fillRect/>
                    </a:stretch>
                  </pic:blipFill>
                  <pic:spPr>
                    <a:xfrm>
                      <a:off x="0" y="0"/>
                      <a:ext cx="5274310" cy="3346821"/>
                    </a:xfrm>
                    <a:prstGeom prst="rect">
                      <a:avLst/>
                    </a:prstGeom>
                  </pic:spPr>
                </pic:pic>
              </a:graphicData>
            </a:graphic>
          </wp:inline>
        </w:drawing>
      </w:r>
    </w:p>
    <w:p w14:paraId="0CF37647" w14:textId="688B3D6D" w:rsidR="0048780F" w:rsidRPr="00463F80" w:rsidRDefault="00F22D5F" w:rsidP="0066256F">
      <w:pPr>
        <w:spacing w:line="480" w:lineRule="auto"/>
        <w:ind w:firstLine="562"/>
        <w:jc w:val="center"/>
        <w:rPr>
          <w:rFonts w:ascii="宋体" w:hAnsi="宋体"/>
          <w:b/>
          <w:sz w:val="28"/>
          <w:szCs w:val="28"/>
        </w:rPr>
      </w:pPr>
      <w:r w:rsidRPr="00463F80">
        <w:rPr>
          <w:rFonts w:ascii="宋体" w:hAnsi="宋体"/>
          <w:b/>
          <w:sz w:val="28"/>
          <w:szCs w:val="28"/>
        </w:rPr>
        <w:t>图</w:t>
      </w:r>
      <w:r w:rsidR="00C425E6" w:rsidRPr="00463F80">
        <w:rPr>
          <w:rFonts w:ascii="宋体" w:hAnsi="宋体" w:hint="eastAsia"/>
          <w:b/>
          <w:sz w:val="28"/>
          <w:szCs w:val="28"/>
        </w:rPr>
        <w:t>2</w:t>
      </w:r>
      <w:r w:rsidRPr="00463F80">
        <w:rPr>
          <w:rFonts w:ascii="宋体" w:hAnsi="宋体"/>
          <w:b/>
          <w:sz w:val="28"/>
          <w:szCs w:val="28"/>
        </w:rPr>
        <w:t xml:space="preserve">   我校主要资产情况</w:t>
      </w:r>
    </w:p>
    <w:p w14:paraId="730D48D2" w14:textId="3A4508E4"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w:t>
      </w:r>
      <w:r w:rsidR="0043517D" w:rsidRPr="00463F80">
        <w:rPr>
          <w:rFonts w:ascii="仿宋_GB2312" w:eastAsia="仿宋_GB2312" w:hAnsi="宋体" w:cs="Times New Roman"/>
          <w:sz w:val="32"/>
          <w:szCs w:val="32"/>
        </w:rPr>
        <w:t>2019年度我校共处置固定资产524件，总值：250.63万元，占固定资产总额0.3%（见表</w:t>
      </w:r>
      <w:r w:rsidR="00480A5B" w:rsidRPr="00463F80">
        <w:rPr>
          <w:rFonts w:ascii="仿宋_GB2312" w:eastAsia="仿宋_GB2312" w:hAnsi="宋体" w:cs="Times New Roman" w:hint="eastAsia"/>
          <w:sz w:val="32"/>
          <w:szCs w:val="32"/>
        </w:rPr>
        <w:t>7</w:t>
      </w:r>
      <w:r w:rsidR="0043517D" w:rsidRPr="00463F80">
        <w:rPr>
          <w:rFonts w:ascii="仿宋_GB2312" w:eastAsia="仿宋_GB2312" w:hAnsi="宋体" w:cs="Times New Roman"/>
          <w:sz w:val="32"/>
          <w:szCs w:val="32"/>
        </w:rPr>
        <w:t>）。</w:t>
      </w:r>
    </w:p>
    <w:p w14:paraId="70CC4696" w14:textId="5A178B7B" w:rsidR="0048780F" w:rsidRPr="00463F80" w:rsidRDefault="0043517D" w:rsidP="0066256F">
      <w:pPr>
        <w:spacing w:line="480" w:lineRule="auto"/>
        <w:ind w:firstLine="562"/>
        <w:jc w:val="center"/>
        <w:rPr>
          <w:rFonts w:ascii="仿宋_GB2312" w:eastAsia="仿宋_GB2312" w:hAnsi="仿宋_GB2312"/>
          <w:sz w:val="28"/>
          <w:szCs w:val="28"/>
        </w:rPr>
      </w:pPr>
      <w:r w:rsidRPr="00463F80">
        <w:rPr>
          <w:rFonts w:ascii="宋体" w:hAnsi="宋体"/>
          <w:b/>
          <w:sz w:val="28"/>
          <w:szCs w:val="28"/>
        </w:rPr>
        <w:t>表</w:t>
      </w:r>
      <w:r w:rsidR="00480A5B" w:rsidRPr="00463F80">
        <w:rPr>
          <w:rFonts w:ascii="宋体" w:hAnsi="宋体" w:hint="eastAsia"/>
          <w:b/>
          <w:sz w:val="28"/>
          <w:szCs w:val="28"/>
        </w:rPr>
        <w:t>7</w:t>
      </w:r>
      <w:r w:rsidR="00480A5B" w:rsidRPr="00463F80">
        <w:rPr>
          <w:rFonts w:ascii="宋体" w:hAnsi="宋体"/>
          <w:b/>
          <w:sz w:val="28"/>
          <w:szCs w:val="28"/>
        </w:rPr>
        <w:t xml:space="preserve"> </w:t>
      </w:r>
      <w:r w:rsidRPr="00463F80">
        <w:rPr>
          <w:rFonts w:ascii="宋体" w:hAnsi="宋体"/>
          <w:b/>
          <w:sz w:val="28"/>
          <w:szCs w:val="28"/>
        </w:rPr>
        <w:t>处置资产统计表</w:t>
      </w:r>
      <w:r w:rsidR="00A347D5" w:rsidRPr="00463F80">
        <w:rPr>
          <w:rFonts w:ascii="宋体" w:hAnsi="宋体" w:hint="eastAsia"/>
          <w:b/>
          <w:sz w:val="28"/>
          <w:szCs w:val="28"/>
        </w:rPr>
        <w:t xml:space="preserve"> </w:t>
      </w:r>
      <w:r w:rsidR="00A347D5" w:rsidRPr="00463F80">
        <w:rPr>
          <w:rFonts w:ascii="宋体" w:hAnsi="宋体"/>
          <w:b/>
          <w:sz w:val="28"/>
          <w:szCs w:val="28"/>
        </w:rPr>
        <w:t xml:space="preserve">  </w:t>
      </w:r>
      <w:r w:rsidRPr="00463F80">
        <w:rPr>
          <w:rFonts w:ascii="宋体" w:hAnsi="宋体"/>
          <w:b/>
          <w:sz w:val="28"/>
          <w:szCs w:val="28"/>
        </w:rPr>
        <w:t>单位：件、万元</w:t>
      </w:r>
    </w:p>
    <w:p w14:paraId="212F3869" w14:textId="16A570F0" w:rsidR="0048780F" w:rsidRPr="00463F80" w:rsidRDefault="0043517D" w:rsidP="0066256F">
      <w:pPr>
        <w:spacing w:line="480" w:lineRule="auto"/>
        <w:ind w:firstLine="420"/>
        <w:jc w:val="center"/>
        <w:rPr>
          <w:rFonts w:ascii="仿宋_GB2312" w:eastAsia="仿宋_GB2312" w:hAnsi="仿宋_GB2312"/>
          <w:sz w:val="32"/>
          <w:szCs w:val="32"/>
        </w:rPr>
      </w:pPr>
      <w:r w:rsidRPr="00463F80">
        <w:rPr>
          <w:rFonts w:ascii="微软雅黑" w:eastAsia="微软雅黑" w:hAnsi="微软雅黑"/>
          <w:noProof/>
          <w:szCs w:val="21"/>
        </w:rPr>
        <w:drawing>
          <wp:inline distT="0" distB="0" distL="0" distR="0" wp14:anchorId="32589601" wp14:editId="0B7F6F12">
            <wp:extent cx="5114925" cy="2352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stretch>
                      <a:fillRect/>
                    </a:stretch>
                  </pic:blipFill>
                  <pic:spPr>
                    <a:xfrm>
                      <a:off x="0" y="0"/>
                      <a:ext cx="5114925" cy="2352675"/>
                    </a:xfrm>
                    <a:prstGeom prst="rect">
                      <a:avLst/>
                    </a:prstGeom>
                  </pic:spPr>
                </pic:pic>
              </a:graphicData>
            </a:graphic>
          </wp:inline>
        </w:drawing>
      </w:r>
    </w:p>
    <w:p w14:paraId="2B93DF73" w14:textId="2000D8F3"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（3）</w:t>
      </w:r>
      <w:r w:rsidR="0043517D" w:rsidRPr="00463F80">
        <w:rPr>
          <w:rFonts w:ascii="仿宋_GB2312" w:eastAsia="仿宋_GB2312" w:hAnsi="宋体" w:cs="Times New Roman"/>
          <w:sz w:val="32"/>
          <w:szCs w:val="32"/>
        </w:rPr>
        <w:t>经统计核查，2019年度我校没有对外投资及出租出借资产。</w:t>
      </w:r>
    </w:p>
    <w:p w14:paraId="14E30890" w14:textId="20632C6E" w:rsidR="008822F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（4）</w:t>
      </w:r>
      <w:r w:rsidR="0043517D" w:rsidRPr="00463F80">
        <w:rPr>
          <w:rFonts w:ascii="仿宋_GB2312" w:eastAsia="仿宋_GB2312" w:hAnsi="宋体" w:cs="Times New Roman"/>
          <w:sz w:val="32"/>
          <w:szCs w:val="32"/>
        </w:rPr>
        <w:t>按照使用情况统计，我校2019年在册固定资产646212件，共 737,909,595.98 元，其中在用641483件共713,584,278.98元占资产总额96%；待报废4729件，共24,325,317.00 元，占资产总额4%。</w:t>
      </w:r>
    </w:p>
    <w:p w14:paraId="38DCFA30" w14:textId="64CC322F" w:rsidR="0048780F" w:rsidRPr="00463F80" w:rsidRDefault="008822FF" w:rsidP="009C7A21">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4.</w:t>
      </w:r>
      <w:r w:rsidR="0043517D" w:rsidRPr="00463F80">
        <w:rPr>
          <w:rFonts w:ascii="仿宋_GB2312" w:eastAsia="仿宋_GB2312" w:hAnsi="仿宋_GB2312"/>
          <w:b/>
          <w:bCs/>
          <w:sz w:val="32"/>
          <w:szCs w:val="32"/>
        </w:rPr>
        <w:t>资产总体绩效情况</w:t>
      </w:r>
    </w:p>
    <w:p w14:paraId="1076C7DA" w14:textId="133AB054"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（1）</w:t>
      </w:r>
      <w:r w:rsidR="0043517D" w:rsidRPr="00463F80">
        <w:rPr>
          <w:rFonts w:ascii="仿宋_GB2312" w:eastAsia="仿宋_GB2312" w:hAnsi="宋体" w:cs="Times New Roman"/>
          <w:sz w:val="32"/>
          <w:szCs w:val="32"/>
        </w:rPr>
        <w:t>学校实践教学场地充足，办学条件优良。建有国家级生产性实训基地、工业机器人应用人才培养中心，有中央财政支持职业教育实训基地4个，省级实训基地、公共实训中心、虚拟仿真实训中心等15个，有校内实验实训室183个。校外实践教学基地697个，省级大学生校外实践教学基地10个。</w:t>
      </w:r>
    </w:p>
    <w:p w14:paraId="37DDA374" w14:textId="211E715D"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（2）</w:t>
      </w:r>
      <w:r w:rsidR="0043517D" w:rsidRPr="00463F80">
        <w:rPr>
          <w:rFonts w:ascii="仿宋_GB2312" w:eastAsia="仿宋_GB2312" w:hAnsi="宋体" w:cs="Times New Roman"/>
          <w:sz w:val="32"/>
          <w:szCs w:val="32"/>
        </w:rPr>
        <w:t>2019年新建《学分制教务管理平台》、《数字工贸信息化管理平台》等6个信息化平台建设及《网络工程创新实训室》、《工业机器人》、《多轴数控加工实训室》等10多个建设项目的建成及投入使用，共计3599.15万元，固定资产新增报增入账3,429.14万元，共计：29,027.00台件建账与管理工作，处理好学校资产的调拨、报废、报损、报失工作，加强资产的日常管理维护，挖掘资产使用价值，规范和完善资产的处置流程，充分发挥资产在校履行职能方面的物质基础作用，有效保证本校运行和服务的需要。</w:t>
      </w:r>
    </w:p>
    <w:p w14:paraId="4CD467E4" w14:textId="4F55C4ED" w:rsidR="0048780F" w:rsidRPr="00463F80" w:rsidRDefault="008822FF"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hint="eastAsia"/>
          <w:sz w:val="32"/>
          <w:szCs w:val="32"/>
        </w:rPr>
        <w:t>（3）</w:t>
      </w:r>
      <w:r w:rsidR="0043517D" w:rsidRPr="00463F80">
        <w:rPr>
          <w:rFonts w:ascii="仿宋_GB2312" w:eastAsia="仿宋_GB2312" w:hAnsi="宋体" w:cs="Times New Roman"/>
          <w:sz w:val="32"/>
          <w:szCs w:val="32"/>
        </w:rPr>
        <w:t>信息化基础设施进一步完善</w:t>
      </w:r>
    </w:p>
    <w:p w14:paraId="7115EB21" w14:textId="4621BB51"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新增超融合云计算平台。新增超融合云计算平台，并迁入网站群、办公自动化系统、混合式教学平台等重要应用，并搭建了数字工贸等重要应用服务。</w:t>
      </w:r>
    </w:p>
    <w:p w14:paraId="70EA347E" w14:textId="68299162" w:rsidR="0048780F" w:rsidRPr="00463F80" w:rsidRDefault="00FB30CF" w:rsidP="00FB30CF">
      <w:pPr>
        <w:pStyle w:val="2"/>
        <w:ind w:firstLine="643"/>
      </w:pPr>
      <w:bookmarkStart w:id="21" w:name="_Toc41904207"/>
      <w:r w:rsidRPr="00463F80">
        <w:rPr>
          <w:rFonts w:hint="eastAsia"/>
        </w:rPr>
        <w:t>三</w:t>
      </w:r>
      <w:r w:rsidR="008822FF" w:rsidRPr="00463F80">
        <w:rPr>
          <w:rFonts w:hint="eastAsia"/>
        </w:rPr>
        <w:t>、</w:t>
      </w:r>
      <w:r w:rsidR="0043517D" w:rsidRPr="00463F80">
        <w:t>预算使用效益</w:t>
      </w:r>
      <w:bookmarkEnd w:id="21"/>
    </w:p>
    <w:p w14:paraId="08F60D4D" w14:textId="293247E9" w:rsidR="0048780F" w:rsidRPr="00463F80" w:rsidRDefault="00A23C6B" w:rsidP="0066256F">
      <w:pPr>
        <w:spacing w:line="480" w:lineRule="auto"/>
        <w:ind w:firstLine="643"/>
        <w:rPr>
          <w:rFonts w:ascii="仿宋_GB2312" w:eastAsia="仿宋_GB2312" w:hAnsi="仿宋_GB2312"/>
          <w:sz w:val="32"/>
          <w:szCs w:val="32"/>
        </w:rPr>
      </w:pPr>
      <w:bookmarkStart w:id="22" w:name="_Toc41904208"/>
      <w:r w:rsidRPr="00463F80">
        <w:rPr>
          <w:rStyle w:val="3Char"/>
          <w:rFonts w:hint="eastAsia"/>
        </w:rPr>
        <w:t>（</w:t>
      </w:r>
      <w:r w:rsidR="003A1C5F" w:rsidRPr="00463F80">
        <w:rPr>
          <w:rStyle w:val="3Char"/>
          <w:rFonts w:hint="eastAsia"/>
        </w:rPr>
        <w:t>一</w:t>
      </w:r>
      <w:r w:rsidRPr="00463F80">
        <w:rPr>
          <w:rStyle w:val="3Char"/>
        </w:rPr>
        <w:t>）</w:t>
      </w:r>
      <w:r w:rsidR="0043517D" w:rsidRPr="00463F80">
        <w:rPr>
          <w:rStyle w:val="3Char"/>
        </w:rPr>
        <w:t>部门整体绩效目标实现情况</w:t>
      </w:r>
      <w:bookmarkEnd w:id="22"/>
    </w:p>
    <w:p w14:paraId="6268FBC4" w14:textId="2F128D29"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2019年，在省委、省政府的关心支持下，在省委教育工委、省教育厅的直接领导下，我校较好地完成了部门整体绩效目标，取得了较好的绩效成果,现对照我校支出绩效目标总结如下：</w:t>
      </w:r>
    </w:p>
    <w:p w14:paraId="4C855267" w14:textId="6241C402" w:rsidR="0048780F" w:rsidRPr="00463F80" w:rsidRDefault="00A23C6B" w:rsidP="009C7A21">
      <w:pPr>
        <w:spacing w:line="560" w:lineRule="exact"/>
        <w:ind w:firstLine="643"/>
        <w:rPr>
          <w:rFonts w:ascii="仿宋_GB2312" w:eastAsia="仿宋_GB2312" w:hAnsi="仿宋_GB2312"/>
          <w:b/>
          <w:bCs/>
          <w:kern w:val="0"/>
          <w:sz w:val="32"/>
          <w:szCs w:val="32"/>
        </w:rPr>
      </w:pPr>
      <w:r w:rsidRPr="00463F80">
        <w:rPr>
          <w:rFonts w:ascii="仿宋_GB2312" w:eastAsia="仿宋_GB2312" w:hAnsi="仿宋_GB2312" w:hint="eastAsia"/>
          <w:b/>
          <w:bCs/>
          <w:kern w:val="0"/>
          <w:sz w:val="32"/>
          <w:szCs w:val="32"/>
        </w:rPr>
        <w:t>1.</w:t>
      </w:r>
      <w:r w:rsidR="0043517D" w:rsidRPr="00463F80">
        <w:rPr>
          <w:rFonts w:ascii="仿宋_GB2312" w:eastAsia="仿宋_GB2312" w:hAnsi="仿宋_GB2312"/>
          <w:b/>
          <w:bCs/>
          <w:kern w:val="0"/>
          <w:sz w:val="32"/>
          <w:szCs w:val="32"/>
        </w:rPr>
        <w:t>笃行做实党建工作，全面提升党组织凝聚力和战斗力</w:t>
      </w:r>
    </w:p>
    <w:p w14:paraId="31B7223E" w14:textId="22424547" w:rsidR="0048780F" w:rsidRPr="00463F80" w:rsidRDefault="00A23C6B" w:rsidP="009C7A21">
      <w:pPr>
        <w:spacing w:line="560" w:lineRule="exact"/>
        <w:ind w:firstLine="643"/>
        <w:rPr>
          <w:rFonts w:ascii="仿宋_GB2312" w:eastAsia="仿宋_GB2312" w:hAnsi="仿宋_GB2312"/>
          <w:b/>
          <w:sz w:val="32"/>
          <w:szCs w:val="32"/>
        </w:rPr>
      </w:pPr>
      <w:r w:rsidRPr="00463F80">
        <w:rPr>
          <w:rFonts w:ascii="仿宋_GB2312" w:eastAsia="仿宋_GB2312" w:hAnsi="仿宋_GB2312" w:hint="eastAsia"/>
          <w:b/>
          <w:kern w:val="0"/>
          <w:sz w:val="32"/>
          <w:szCs w:val="32"/>
        </w:rPr>
        <w:t>（</w:t>
      </w:r>
      <w:r w:rsidR="00B144B1" w:rsidRPr="00463F80">
        <w:rPr>
          <w:rFonts w:ascii="仿宋_GB2312" w:eastAsia="仿宋_GB2312" w:hAnsi="仿宋_GB2312" w:hint="eastAsia"/>
          <w:b/>
          <w:kern w:val="0"/>
          <w:sz w:val="32"/>
          <w:szCs w:val="32"/>
        </w:rPr>
        <w:t>1</w:t>
      </w:r>
      <w:r w:rsidRPr="00463F80">
        <w:rPr>
          <w:rFonts w:ascii="仿宋_GB2312" w:eastAsia="仿宋_GB2312" w:hAnsi="仿宋_GB2312" w:hint="eastAsia"/>
          <w:b/>
          <w:kern w:val="0"/>
          <w:sz w:val="32"/>
          <w:szCs w:val="32"/>
        </w:rPr>
        <w:t>）</w:t>
      </w:r>
      <w:r w:rsidR="0043517D" w:rsidRPr="00463F80">
        <w:rPr>
          <w:rFonts w:ascii="仿宋_GB2312" w:eastAsia="仿宋_GB2312" w:hAnsi="仿宋_GB2312"/>
          <w:b/>
          <w:sz w:val="32"/>
          <w:szCs w:val="32"/>
        </w:rPr>
        <w:t>抓牢、抓实全体</w:t>
      </w:r>
      <w:r w:rsidR="00B144B1" w:rsidRPr="00463F80">
        <w:rPr>
          <w:rFonts w:ascii="仿宋_GB2312" w:eastAsia="仿宋_GB2312" w:hAnsi="仿宋_GB2312"/>
          <w:b/>
          <w:sz w:val="32"/>
          <w:szCs w:val="32"/>
        </w:rPr>
        <w:t>党员政治学习，锤炼初心使命</w:t>
      </w:r>
    </w:p>
    <w:p w14:paraId="59A982C8"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将学习新理论新思想作为首要政治任务，以</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不忘初心、牢记使命</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主题教育为契机，开展党委会</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第一议题</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学习22次，党委理论学习中心组学习12次，切实提高了运用新思想新理论指导实践、推动工作的能力和水平，坚定领导班子政治信仰和政治忠诚。在党员干部范围内开展现场教学和革命传统教育、形势政策教育、先进典型教育、警示教育、支部书记轮训和自主学习</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六个教育</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，加强思想建设，锤炼党员干部党性，引导党员干部牢记为党育人、为国育才的初心使命。在全体师生中开展理论学习441场，开展</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一十百千万</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行动，党委书记、校长、党总支书记和院长共面向3660人次学生开展30次思想政治</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第一课</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教学；学校党委委员、各基层党组织书记、思政教师等十支宣讲队伍开展新中国成立70周年、十九届四中全会精神宣讲，覆盖243个班级9781名同学；百家社团</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青马学子领读团</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开展十九届四中全会精神</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大宣讲</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活动，开展专题学习401场次、党章学习小组学习856次、主题班会和团日活动1223次；创新开展全媒体宣传，发布超过1000篇网络红文。切实做到习近平新时代中国特色社会主义思想</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五进</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，实现全校师生新思想学习全覆盖。</w:t>
      </w:r>
    </w:p>
    <w:p w14:paraId="570B1FD3" w14:textId="62AE400F" w:rsidR="0048780F" w:rsidRPr="00463F80" w:rsidRDefault="00A23C6B" w:rsidP="009C7A21">
      <w:pPr>
        <w:spacing w:line="560" w:lineRule="exact"/>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w:t>
      </w:r>
      <w:r w:rsidR="00B144B1" w:rsidRPr="00463F80">
        <w:rPr>
          <w:rFonts w:ascii="仿宋_GB2312" w:eastAsia="仿宋_GB2312" w:hAnsi="仿宋_GB2312" w:hint="eastAsia"/>
          <w:b/>
          <w:bCs/>
          <w:sz w:val="32"/>
          <w:szCs w:val="32"/>
        </w:rPr>
        <w:t>2</w:t>
      </w:r>
      <w:r w:rsidRPr="00463F80">
        <w:rPr>
          <w:rFonts w:ascii="仿宋_GB2312" w:eastAsia="仿宋_GB2312" w:hAnsi="仿宋_GB2312" w:hint="eastAsia"/>
          <w:b/>
          <w:bCs/>
          <w:sz w:val="32"/>
          <w:szCs w:val="32"/>
        </w:rPr>
        <w:t>）</w:t>
      </w:r>
      <w:r w:rsidR="0043517D" w:rsidRPr="00463F80">
        <w:rPr>
          <w:rFonts w:ascii="仿宋_GB2312" w:eastAsia="仿宋_GB2312" w:hAnsi="仿宋_GB2312"/>
          <w:b/>
          <w:bCs/>
          <w:sz w:val="32"/>
          <w:szCs w:val="32"/>
        </w:rPr>
        <w:t>经费保障，助推党建前行</w:t>
      </w:r>
    </w:p>
    <w:p w14:paraId="60D0D471"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党建信息化初见成效。投入资金近40万建设与学校《党建工作三级考核评价指标体系》高度融合的智慧党建系统，发挥其目标管理、过程监督、责任考核等功能，加快推进提升党建工作信息化管理水平。</w:t>
      </w:r>
    </w:p>
    <w:p w14:paraId="4672D761"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加强阵地和经费保障。投入预算资金37万元，落实教师党员500元、学生党员100元年度组织活动经费，开展丰富多彩的党员活动、党日活动，建设我校2个标杆党支部，购买党建资料，丰富党员学习教育，充分发挥师生党员在学校发展中的先锋模范带头作用。按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六有</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标准进一步完善23个党员活动室建设，提升非党教职工凝心聚力谋发展的共识。</w:t>
      </w:r>
    </w:p>
    <w:p w14:paraId="21CD092F" w14:textId="0E7C907F" w:rsidR="00B144B1" w:rsidRPr="00463F80" w:rsidRDefault="00A23C6B" w:rsidP="009C7A21">
      <w:pPr>
        <w:spacing w:line="560" w:lineRule="exact"/>
        <w:ind w:firstLine="643"/>
        <w:rPr>
          <w:rFonts w:ascii="仿宋_GB2312" w:eastAsia="仿宋_GB2312" w:hAnsi="仿宋_GB2312"/>
          <w:sz w:val="32"/>
          <w:szCs w:val="32"/>
        </w:rPr>
      </w:pPr>
      <w:r w:rsidRPr="00463F80">
        <w:rPr>
          <w:rFonts w:ascii="仿宋_GB2312" w:eastAsia="仿宋_GB2312" w:hAnsi="仿宋_GB2312" w:hint="eastAsia"/>
          <w:b/>
          <w:bCs/>
          <w:kern w:val="0"/>
          <w:sz w:val="32"/>
          <w:szCs w:val="32"/>
        </w:rPr>
        <w:t>2.</w:t>
      </w:r>
      <w:r w:rsidR="0043517D" w:rsidRPr="00463F80">
        <w:rPr>
          <w:rFonts w:ascii="仿宋_GB2312" w:eastAsia="仿宋_GB2312" w:hAnsi="仿宋_GB2312"/>
          <w:b/>
          <w:bCs/>
          <w:kern w:val="0"/>
          <w:sz w:val="32"/>
          <w:szCs w:val="32"/>
        </w:rPr>
        <w:t>保运转，夯实持续发展根基</w:t>
      </w:r>
    </w:p>
    <w:p w14:paraId="14FDFEF7" w14:textId="78DAF261" w:rsidR="00B144B1" w:rsidRPr="00463F80" w:rsidRDefault="00A23C6B" w:rsidP="009C7A21">
      <w:pPr>
        <w:spacing w:line="560" w:lineRule="exact"/>
        <w:ind w:firstLine="643"/>
        <w:rPr>
          <w:rFonts w:ascii="仿宋_GB2312" w:eastAsia="仿宋_GB2312" w:hAnsi="仿宋_GB2312"/>
          <w:sz w:val="32"/>
          <w:szCs w:val="32"/>
        </w:rPr>
      </w:pPr>
      <w:r w:rsidRPr="00463F80">
        <w:rPr>
          <w:rFonts w:ascii="仿宋_GB2312" w:eastAsia="仿宋_GB2312" w:hAnsi="仿宋_GB2312" w:hint="eastAsia"/>
          <w:b/>
          <w:sz w:val="32"/>
          <w:szCs w:val="32"/>
        </w:rPr>
        <w:t>（</w:t>
      </w:r>
      <w:r w:rsidR="00B144B1" w:rsidRPr="00463F80">
        <w:rPr>
          <w:rFonts w:ascii="仿宋_GB2312" w:eastAsia="仿宋_GB2312" w:hAnsi="仿宋_GB2312" w:hint="eastAsia"/>
          <w:b/>
          <w:sz w:val="32"/>
          <w:szCs w:val="32"/>
        </w:rPr>
        <w:t>1</w:t>
      </w:r>
      <w:r w:rsidRPr="00463F80">
        <w:rPr>
          <w:rFonts w:ascii="仿宋_GB2312" w:eastAsia="仿宋_GB2312" w:hAnsi="仿宋_GB2312" w:hint="eastAsia"/>
          <w:b/>
          <w:sz w:val="32"/>
          <w:szCs w:val="32"/>
        </w:rPr>
        <w:t>）</w:t>
      </w:r>
      <w:r w:rsidR="0043517D" w:rsidRPr="00463F80">
        <w:rPr>
          <w:rFonts w:ascii="仿宋_GB2312" w:eastAsia="仿宋_GB2312" w:hAnsi="仿宋_GB2312"/>
          <w:b/>
          <w:bCs/>
          <w:sz w:val="32"/>
          <w:szCs w:val="32"/>
        </w:rPr>
        <w:t>保障人员工资正常发放，小幅度提高教职员工薪酬待遇水平</w:t>
      </w:r>
    </w:p>
    <w:p w14:paraId="2E397523" w14:textId="77777777" w:rsidR="00B144B1" w:rsidRPr="00463F80" w:rsidRDefault="0043517D" w:rsidP="009C7A21">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2019年我校工资福利支出增加6875.58万元，增幅52.94％，主要原因是： 2019年增加补交2014-2018年机关事业单位基本养老保险缴费支出1588.16万元、增加2019年职业年金缴费415.80万元、增加补发2017、2018年绩效支出3812.52万元、其他原因增加支出1059.1万元，提高了教职工薪酬待遇水平，进而提升教职工幸福感，提高了学校对高层次人才吸引力。</w:t>
      </w:r>
    </w:p>
    <w:p w14:paraId="62F3187F" w14:textId="2CC36F96" w:rsidR="0048780F" w:rsidRPr="00463F80" w:rsidRDefault="00A23C6B" w:rsidP="009C7A21">
      <w:pPr>
        <w:spacing w:line="560" w:lineRule="exact"/>
        <w:ind w:firstLine="643"/>
        <w:rPr>
          <w:rFonts w:ascii="仿宋_GB2312" w:eastAsia="仿宋_GB2312" w:hAnsi="仿宋_GB2312"/>
          <w:sz w:val="32"/>
          <w:szCs w:val="32"/>
        </w:rPr>
      </w:pPr>
      <w:r w:rsidRPr="00463F80">
        <w:rPr>
          <w:rFonts w:ascii="仿宋_GB2312" w:eastAsia="仿宋_GB2312" w:hAnsi="仿宋_GB2312" w:hint="eastAsia"/>
          <w:b/>
          <w:bCs/>
          <w:sz w:val="32"/>
          <w:szCs w:val="32"/>
        </w:rPr>
        <w:t>（</w:t>
      </w:r>
      <w:r w:rsidR="00B144B1" w:rsidRPr="00463F80">
        <w:rPr>
          <w:rFonts w:ascii="仿宋_GB2312" w:eastAsia="仿宋_GB2312" w:hAnsi="仿宋_GB2312" w:hint="eastAsia"/>
          <w:b/>
          <w:bCs/>
          <w:sz w:val="32"/>
          <w:szCs w:val="32"/>
        </w:rPr>
        <w:t>2</w:t>
      </w:r>
      <w:r w:rsidRPr="00463F80">
        <w:rPr>
          <w:rFonts w:ascii="仿宋_GB2312" w:eastAsia="仿宋_GB2312" w:hAnsi="仿宋_GB2312" w:hint="eastAsia"/>
          <w:b/>
          <w:bCs/>
          <w:sz w:val="32"/>
          <w:szCs w:val="32"/>
        </w:rPr>
        <w:t>）</w:t>
      </w:r>
      <w:r w:rsidR="0043517D" w:rsidRPr="00463F80">
        <w:rPr>
          <w:rFonts w:ascii="仿宋_GB2312" w:eastAsia="仿宋_GB2312" w:hAnsi="仿宋_GB2312"/>
          <w:b/>
          <w:bCs/>
          <w:sz w:val="32"/>
          <w:szCs w:val="32"/>
        </w:rPr>
        <w:t>优化队伍结构，教师数量质量整体提升</w:t>
      </w:r>
    </w:p>
    <w:p w14:paraId="749DABC2" w14:textId="77777777" w:rsidR="00B144B1"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我校聚焦师资短板，引进教师39名，其中高层次人才6名，获批二级教授1名，聘用客座教授和产业教授5名，新增省级教学名师1名、专业领军人才1名、省级高层次技能型兼职教师2名。配齐建强思政工作队伍。深化人事分配制度改革，召开教代会通过《广东工贸职业技术学院事业编制聘用人员奖励性绩效工资分配办法（试行）》，推进二级学院分配制度改革，计划2020年全面实施，调动广大教职工积极性和主动性。</w:t>
      </w:r>
    </w:p>
    <w:p w14:paraId="454F6023" w14:textId="3F09199D" w:rsidR="0048780F" w:rsidRPr="00463F80" w:rsidRDefault="00A23C6B" w:rsidP="0066256F">
      <w:pPr>
        <w:spacing w:line="560" w:lineRule="exact"/>
        <w:ind w:firstLine="643"/>
        <w:rPr>
          <w:rFonts w:ascii="仿宋_GB2312" w:eastAsia="仿宋_GB2312" w:hAnsi="仿宋_GB2312"/>
          <w:sz w:val="32"/>
          <w:szCs w:val="32"/>
        </w:rPr>
      </w:pPr>
      <w:r w:rsidRPr="00463F80">
        <w:rPr>
          <w:rFonts w:ascii="仿宋_GB2312" w:eastAsia="仿宋_GB2312" w:hAnsi="仿宋_GB2312" w:hint="eastAsia"/>
          <w:b/>
          <w:bCs/>
          <w:sz w:val="32"/>
          <w:szCs w:val="32"/>
        </w:rPr>
        <w:t>（</w:t>
      </w:r>
      <w:r w:rsidR="00B144B1" w:rsidRPr="00463F80">
        <w:rPr>
          <w:rFonts w:ascii="仿宋_GB2312" w:eastAsia="仿宋_GB2312" w:hAnsi="仿宋_GB2312" w:hint="eastAsia"/>
          <w:b/>
          <w:bCs/>
          <w:sz w:val="32"/>
          <w:szCs w:val="32"/>
        </w:rPr>
        <w:t>3</w:t>
      </w:r>
      <w:r w:rsidRPr="00463F80">
        <w:rPr>
          <w:rFonts w:ascii="仿宋_GB2312" w:eastAsia="仿宋_GB2312" w:hAnsi="仿宋_GB2312" w:hint="eastAsia"/>
          <w:b/>
          <w:bCs/>
          <w:sz w:val="32"/>
          <w:szCs w:val="32"/>
        </w:rPr>
        <w:t>）</w:t>
      </w:r>
      <w:r w:rsidR="0043517D" w:rsidRPr="00463F80">
        <w:rPr>
          <w:rFonts w:ascii="仿宋_GB2312" w:eastAsia="仿宋_GB2312" w:hAnsi="仿宋_GB2312"/>
          <w:b/>
          <w:bCs/>
          <w:sz w:val="32"/>
          <w:szCs w:val="32"/>
        </w:rPr>
        <w:t>教学工作正常有序运行</w:t>
      </w:r>
    </w:p>
    <w:p w14:paraId="6B0E06BF" w14:textId="77777777" w:rsidR="00B144B1"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我校遵循教育规律和人才成长规律，深化教育教学改革，创新教育教学方法，探索多种培养方式，不断提高人才培养的质量和水平。今年共开设1065门课程，顺利完成457个班级的日常教学任务。修订完成2019级人才培养方案。实施专职督导现场教学秩序巡查、不定时视频监控巡查和听课评课制度，年度发布教学质量监控简报18期，跟踪整改存在问题，有效保障课堂教学秩序和教学质量。推进教育教学信息化，教育信息化建设与应用案例分别获评2019年广东省教育信息化应用典型案例，世界职业教育大会教育信息化优秀案例及入选职成司职教信息化年度发展报告。</w:t>
      </w:r>
    </w:p>
    <w:p w14:paraId="432FAB83" w14:textId="02AE8EC6" w:rsidR="0048780F" w:rsidRPr="00463F80" w:rsidRDefault="00A23C6B"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w:t>
      </w:r>
      <w:r w:rsidR="00B144B1" w:rsidRPr="00463F80">
        <w:rPr>
          <w:rFonts w:ascii="仿宋_GB2312" w:eastAsia="仿宋_GB2312" w:hAnsi="仿宋_GB2312" w:hint="eastAsia"/>
          <w:b/>
          <w:bCs/>
          <w:sz w:val="32"/>
          <w:szCs w:val="32"/>
        </w:rPr>
        <w:t>4</w:t>
      </w:r>
      <w:r w:rsidRPr="00463F80">
        <w:rPr>
          <w:rFonts w:ascii="仿宋_GB2312" w:eastAsia="仿宋_GB2312" w:hAnsi="仿宋_GB2312" w:hint="eastAsia"/>
          <w:b/>
          <w:bCs/>
          <w:sz w:val="32"/>
          <w:szCs w:val="32"/>
        </w:rPr>
        <w:t>）</w:t>
      </w:r>
      <w:r w:rsidR="0043517D" w:rsidRPr="00463F80">
        <w:rPr>
          <w:rFonts w:ascii="仿宋_GB2312" w:eastAsia="仿宋_GB2312" w:hAnsi="仿宋_GB2312"/>
          <w:b/>
          <w:bCs/>
          <w:sz w:val="32"/>
          <w:szCs w:val="32"/>
        </w:rPr>
        <w:t>打造科研团队/平台，提升社会服务水平</w:t>
      </w:r>
    </w:p>
    <w:p w14:paraId="41A6FC86" w14:textId="77777777" w:rsidR="00B144B1"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推进科研团队平台建设。基本建成</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三依托、三平台、三服务、三保障</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的4S科技创新服务模式，新建2个国家级、1个省级、11个校级应用技术协同创新中心和1个省级、6个校级协同创新服务团队。建立重大项目申报常态化</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预研</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机制，成功立项各类省级课题35项，为企业技术服务年规模达650万元。获发明专利3件，成果转化2项。</w:t>
      </w:r>
    </w:p>
    <w:p w14:paraId="4DAA6D36" w14:textId="0DFEBEA4" w:rsidR="0048780F" w:rsidRPr="00463F80" w:rsidRDefault="00A23C6B"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w:t>
      </w:r>
      <w:r w:rsidR="00B144B1" w:rsidRPr="00463F80">
        <w:rPr>
          <w:rFonts w:ascii="仿宋_GB2312" w:eastAsia="仿宋_GB2312" w:hAnsi="仿宋_GB2312" w:hint="eastAsia"/>
          <w:b/>
          <w:bCs/>
          <w:sz w:val="32"/>
          <w:szCs w:val="32"/>
        </w:rPr>
        <w:t>5</w:t>
      </w:r>
      <w:r w:rsidRPr="00463F80">
        <w:rPr>
          <w:rFonts w:ascii="仿宋_GB2312" w:eastAsia="仿宋_GB2312" w:hAnsi="仿宋_GB2312" w:hint="eastAsia"/>
          <w:b/>
          <w:bCs/>
          <w:sz w:val="32"/>
          <w:szCs w:val="32"/>
        </w:rPr>
        <w:t>）</w:t>
      </w:r>
      <w:r w:rsidR="0043517D" w:rsidRPr="00463F80">
        <w:rPr>
          <w:rFonts w:ascii="仿宋_GB2312" w:eastAsia="仿宋_GB2312" w:hAnsi="仿宋_GB2312"/>
          <w:b/>
          <w:bCs/>
          <w:sz w:val="32"/>
          <w:szCs w:val="32"/>
        </w:rPr>
        <w:t>持续加强保障能力建设，不断提升优质服务水平</w:t>
      </w:r>
    </w:p>
    <w:p w14:paraId="1E2C94B9"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学校现金流保持健康稳定，全年学校各项财政拨款支出完成率均达到99.5%以上，</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创新强校</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和</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专业群建设</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等教育教学专项项目资金支出完成率达到100%。2019年完成天河校区两个食堂承包及改造，提高饮食服务水平。完成白云校区宿舍家具改造，容纳扩招生源。建设白云校区平安校园监控二期项目，学生被盗受骗案件发案率同比均下降20％以上。完成2万多册图书，3000种电子书、8种数字资源采购、5种数字资源试用及年度报纸期刊征订。</w:t>
      </w:r>
    </w:p>
    <w:p w14:paraId="24FA3F81" w14:textId="5F8F3CD1" w:rsidR="007957F8" w:rsidRPr="00463F80" w:rsidRDefault="00A23C6B" w:rsidP="009C7A21">
      <w:pPr>
        <w:spacing w:line="480" w:lineRule="auto"/>
        <w:ind w:firstLine="643"/>
        <w:rPr>
          <w:rFonts w:ascii="仿宋_GB2312" w:eastAsia="仿宋_GB2312" w:hAnsi="仿宋_GB2312"/>
          <w:b/>
          <w:bCs/>
          <w:kern w:val="0"/>
          <w:sz w:val="32"/>
          <w:szCs w:val="32"/>
        </w:rPr>
      </w:pPr>
      <w:r w:rsidRPr="00463F80">
        <w:rPr>
          <w:rFonts w:ascii="仿宋_GB2312" w:eastAsia="仿宋_GB2312" w:hAnsi="仿宋_GB2312" w:hint="eastAsia"/>
          <w:b/>
          <w:bCs/>
          <w:kern w:val="0"/>
          <w:sz w:val="32"/>
          <w:szCs w:val="32"/>
        </w:rPr>
        <w:t>3.</w:t>
      </w:r>
      <w:r w:rsidR="0043517D" w:rsidRPr="00463F80">
        <w:rPr>
          <w:rFonts w:ascii="仿宋_GB2312" w:eastAsia="仿宋_GB2312" w:hAnsi="仿宋_GB2312"/>
          <w:b/>
          <w:bCs/>
          <w:kern w:val="0"/>
          <w:sz w:val="32"/>
          <w:szCs w:val="32"/>
        </w:rPr>
        <w:t>保发展，集中财力办大事</w:t>
      </w:r>
    </w:p>
    <w:p w14:paraId="02FF4EC3" w14:textId="10853DD0" w:rsidR="0048780F" w:rsidRPr="00463F80" w:rsidRDefault="00E46C9E" w:rsidP="009C7A21">
      <w:pPr>
        <w:spacing w:line="480" w:lineRule="auto"/>
        <w:ind w:firstLine="643"/>
        <w:rPr>
          <w:rFonts w:ascii="仿宋_GB2312" w:eastAsia="仿宋_GB2312" w:hAnsi="仿宋_GB2312"/>
          <w:b/>
          <w:bCs/>
          <w:kern w:val="0"/>
          <w:sz w:val="32"/>
          <w:szCs w:val="32"/>
        </w:rPr>
      </w:pPr>
      <w:r w:rsidRPr="00463F80">
        <w:rPr>
          <w:rFonts w:ascii="仿宋_GB2312" w:eastAsia="仿宋_GB2312" w:hAnsi="仿宋_GB2312" w:hint="eastAsia"/>
          <w:b/>
          <w:bCs/>
          <w:sz w:val="32"/>
          <w:szCs w:val="32"/>
        </w:rPr>
        <w:t>（</w:t>
      </w:r>
      <w:r w:rsidR="007957F8" w:rsidRPr="00463F80">
        <w:rPr>
          <w:rFonts w:ascii="仿宋_GB2312" w:eastAsia="仿宋_GB2312" w:hAnsi="仿宋_GB2312" w:hint="eastAsia"/>
          <w:b/>
          <w:bCs/>
          <w:sz w:val="32"/>
          <w:szCs w:val="32"/>
        </w:rPr>
        <w:t>1</w:t>
      </w:r>
      <w:r w:rsidRPr="00463F80">
        <w:rPr>
          <w:rFonts w:ascii="仿宋_GB2312" w:eastAsia="仿宋_GB2312" w:hAnsi="仿宋_GB2312" w:hint="eastAsia"/>
          <w:b/>
          <w:bCs/>
          <w:sz w:val="32"/>
          <w:szCs w:val="32"/>
        </w:rPr>
        <w:t>）</w:t>
      </w:r>
      <w:r w:rsidR="006B5B8A" w:rsidRPr="00463F80">
        <w:rPr>
          <w:rFonts w:ascii="仿宋_GB2312" w:eastAsia="仿宋_GB2312" w:hAnsi="仿宋_GB2312" w:hint="eastAsia"/>
          <w:b/>
          <w:bCs/>
          <w:sz w:val="32"/>
          <w:szCs w:val="32"/>
        </w:rPr>
        <w:t>大</w:t>
      </w:r>
      <w:r w:rsidR="0043517D" w:rsidRPr="00463F80">
        <w:rPr>
          <w:rFonts w:ascii="仿宋_GB2312" w:eastAsia="仿宋_GB2312" w:hAnsi="仿宋_GB2312"/>
          <w:b/>
          <w:bCs/>
          <w:sz w:val="32"/>
          <w:szCs w:val="32"/>
        </w:rPr>
        <w:t>力推进“提毛计划”，“扩容”项目顺利开工</w:t>
      </w:r>
    </w:p>
    <w:p w14:paraId="177D43AB"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新校区建设投入2680万元，顺利完成白云校区首期、二期工程余款支付。顺利完成2019-2021年提高高等教育毛入学率基本建设项目规划方案编制，图书信息综合楼项目被列入广东省重点建设项目。完成白云校区容积率从0.8调整到1.0，计容建筑面积从437908㎡调整扩大为511271㎡，项目总投入58437万元，克服各类困难，协调解决了调整校园总体规划、永九快速路占用校园用地、景观水体控规修正等各项影响项目施工的问题，获得《施工许可证》等10多项行政事项审批，学生宿舍（自编号16#）如期顺利开工，迈出了</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扩容</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建设的关键一步，为学校</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提毛计划</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的实施及今后发展打下坚实基础。</w:t>
      </w:r>
    </w:p>
    <w:p w14:paraId="3B99ACC6" w14:textId="2CBAB555" w:rsidR="0048780F" w:rsidRPr="00463F80" w:rsidRDefault="00E46C9E" w:rsidP="009C7A21">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w:t>
      </w:r>
      <w:r w:rsidR="007957F8" w:rsidRPr="00463F80">
        <w:rPr>
          <w:rFonts w:ascii="仿宋_GB2312" w:eastAsia="仿宋_GB2312" w:hAnsi="仿宋_GB2312" w:hint="eastAsia"/>
          <w:b/>
          <w:bCs/>
          <w:sz w:val="32"/>
          <w:szCs w:val="32"/>
        </w:rPr>
        <w:t>2</w:t>
      </w:r>
      <w:r w:rsidRPr="00463F80">
        <w:rPr>
          <w:rFonts w:ascii="仿宋_GB2312" w:eastAsia="仿宋_GB2312" w:hAnsi="仿宋_GB2312" w:hint="eastAsia"/>
          <w:b/>
          <w:bCs/>
          <w:sz w:val="32"/>
          <w:szCs w:val="32"/>
        </w:rPr>
        <w:t>）</w:t>
      </w:r>
      <w:r w:rsidR="0043517D" w:rsidRPr="00463F80">
        <w:rPr>
          <w:rFonts w:ascii="仿宋_GB2312" w:eastAsia="仿宋_GB2312" w:hAnsi="仿宋_GB2312"/>
          <w:b/>
          <w:bCs/>
          <w:sz w:val="32"/>
          <w:szCs w:val="32"/>
        </w:rPr>
        <w:t>强力推进创新强校工程和一流院校建设，组织好特高校（专业群）申报工作</w:t>
      </w:r>
    </w:p>
    <w:p w14:paraId="1185F482"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创新强校工程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 xml:space="preserve">建设专项经费4436万元，实际支出3398.09万元，资金支出率76.60%。其中省财支出2938万元，资金支出率100%；自筹支出460.09万元，资金支出率30.71%。 </w:t>
      </w:r>
    </w:p>
    <w:p w14:paraId="61E4E5B4" w14:textId="77777777" w:rsidR="009F65D9" w:rsidRPr="00463F80" w:rsidRDefault="0043517D" w:rsidP="0041419D">
      <w:pPr>
        <w:spacing w:line="560" w:lineRule="exact"/>
        <w:ind w:firstLine="643"/>
        <w:rPr>
          <w:rFonts w:ascii="仿宋_GB2312" w:eastAsia="仿宋_GB2312" w:hAnsi="宋体" w:cs="Times New Roman"/>
          <w:sz w:val="32"/>
          <w:szCs w:val="32"/>
        </w:rPr>
      </w:pPr>
      <w:r w:rsidRPr="00463F80">
        <w:rPr>
          <w:rFonts w:ascii="仿宋_GB2312" w:eastAsia="仿宋_GB2312" w:hAnsi="宋体" w:cs="Times New Roman"/>
          <w:b/>
          <w:sz w:val="32"/>
          <w:szCs w:val="32"/>
        </w:rPr>
        <w:t>主要成效</w:t>
      </w:r>
      <w:r w:rsidR="00A642E3" w:rsidRPr="00463F80">
        <w:rPr>
          <w:rFonts w:ascii="仿宋_GB2312" w:eastAsia="仿宋_GB2312" w:hAnsi="宋体" w:cs="Times New Roman" w:hint="eastAsia"/>
          <w:b/>
          <w:sz w:val="32"/>
          <w:szCs w:val="32"/>
        </w:rPr>
        <w:t>：</w:t>
      </w:r>
      <w:r w:rsidRPr="00463F80">
        <w:rPr>
          <w:rFonts w:ascii="仿宋_GB2312" w:eastAsia="仿宋_GB2312" w:hAnsi="宋体" w:cs="Times New Roman"/>
          <w:sz w:val="32"/>
          <w:szCs w:val="32"/>
        </w:rPr>
        <w:t>按照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以工为主，以测绘为特色</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专业发展布局，以9个高水平专业为核心，集聚4个省级品牌专业和学校其他专业，组建10个与产业精准对接的专业群。测绘地理信息技术专业群立项为国家特色高水平专业群，模具设计与制造专业群等将打造成为省级高水平专业群。顺利完成教育部</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创新发展行动计划</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，9个项目获认定为国家级项目。2019年度200多门课程推出混合式教学改革，立项30门数字化与混合式教学课程。开展卓越班、订单班、复合班等特殊人才培养，共开出20个班，培养500多名学生。成为国家首批</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1+X证书制度试点</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院校，获得8个</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1+X证书制度试点</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项目。学校易班发展中心被评为广东省高校十佳易班发展中心。2019年教师教学能力比赛获省赛一等奖1项，二等奖6项，三等奖8项。获省级教学成果奖一等奖2项（合作项目1项），二等奖5项。全面落实立德树人根本任务和高职扩招政策，人才培养成效明显。2019届毕业生初次就业率97.92%，总体就业率99.92%，初次就业对口就业率93.85%、初次就业平均起薪线4399元/月。承办广东省2020届普通高校毕业生系列供需见面活动</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综合类高职高专专场。2018-2019年度学校承办了2项全国职业院校学生职业技能大赛广东省选拔赛，40支队伍参加35个省级赛项，共获39个奖项，国赛获4个奖项。取得了第五届互联网+大学生创新创业大赛广东省银奖1项，铜奖2项；2019挑战杯科技创新大赛特等奖3项，一等奖4项，获得广东省优胜杯。校企共建的消防培训中心正式落成；完成</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培训国际化行动计划</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印尼籍员工来华培训</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项目，培训量75人天，满意度评价高达93.6分。正式加盟职业能力评价认证考试站，新增18个系列共50项计算机职业能力评价认证考试项</w:t>
      </w:r>
      <w:r w:rsidR="009F65D9" w:rsidRPr="00463F80">
        <w:rPr>
          <w:rFonts w:ascii="仿宋_GB2312" w:eastAsia="仿宋_GB2312" w:hAnsi="宋体" w:cs="Times New Roman"/>
          <w:sz w:val="32"/>
          <w:szCs w:val="32"/>
        </w:rPr>
        <w:t>目</w:t>
      </w:r>
      <w:r w:rsidR="009F65D9" w:rsidRPr="00463F80">
        <w:rPr>
          <w:rFonts w:ascii="仿宋_GB2312" w:eastAsia="仿宋_GB2312" w:hAnsi="宋体" w:cs="Times New Roman" w:hint="eastAsia"/>
          <w:sz w:val="32"/>
          <w:szCs w:val="32"/>
        </w:rPr>
        <w:t>。</w:t>
      </w:r>
    </w:p>
    <w:p w14:paraId="48C8B88F" w14:textId="254D02F5" w:rsidR="0048780F" w:rsidRPr="00463F80" w:rsidRDefault="009F65D9" w:rsidP="009F65D9">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kern w:val="0"/>
          <w:sz w:val="32"/>
          <w:szCs w:val="32"/>
        </w:rPr>
        <w:t xml:space="preserve"> </w:t>
      </w:r>
      <w:r w:rsidR="00E46C9E" w:rsidRPr="00463F80">
        <w:rPr>
          <w:rFonts w:ascii="仿宋_GB2312" w:eastAsia="仿宋_GB2312" w:hAnsi="仿宋_GB2312" w:hint="eastAsia"/>
          <w:b/>
          <w:bCs/>
          <w:kern w:val="0"/>
          <w:sz w:val="32"/>
          <w:szCs w:val="32"/>
        </w:rPr>
        <w:t>4.</w:t>
      </w:r>
      <w:r w:rsidR="0043517D" w:rsidRPr="00463F80">
        <w:rPr>
          <w:rFonts w:ascii="仿宋_GB2312" w:eastAsia="仿宋_GB2312" w:hAnsi="仿宋_GB2312"/>
          <w:b/>
          <w:bCs/>
          <w:kern w:val="0"/>
          <w:sz w:val="32"/>
          <w:szCs w:val="32"/>
        </w:rPr>
        <w:t>聚焦立德树人核心，培育高素质大湾区人才</w:t>
      </w:r>
    </w:p>
    <w:p w14:paraId="575D1B4B" w14:textId="77777777"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2019年承办了2项全国职业院校学生专业技能大赛赛项，40支队伍参加35个省级赛项，共获39个奖项，其中国赛获4个奖项；依托</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第二课堂成绩单</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深入开展</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八个一</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校园文化活动，持续实施</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三深入</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实践活动，与化州市人民政府共建省级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校地结对实践育人</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基地，学校获评省三下乡社会实践活动</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优秀组织单位</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大力开展技能竞赛月、社团文化节、百歌颂中华等喜闻乐见的校园文化品牌活动，学生全年在各类竞赛中共获国家级奖项55项、省级奖项245项；强化创新创业教育，在省互联网+大赛获银奖；在中国移动互联创新大赛获国赛一等奖；在第十五届</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挑战杯</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广东大学生课外学术科技作品竞赛夺得3项特等奖，获得</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优秀组织奖</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，首次捧得</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优胜杯</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。推荐1个项目参加第十六届</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挑战杯</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国赛获三等奖，是广东高职院校在国赛获得的最高荣誉。</w:t>
      </w:r>
    </w:p>
    <w:p w14:paraId="29ECE1D1" w14:textId="0EFC5074" w:rsidR="0048780F" w:rsidRPr="00463F80" w:rsidRDefault="00E46C9E" w:rsidP="009C7A21">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kern w:val="0"/>
          <w:sz w:val="32"/>
          <w:szCs w:val="32"/>
        </w:rPr>
        <w:t>5.</w:t>
      </w:r>
      <w:r w:rsidR="0043517D" w:rsidRPr="00463F80">
        <w:rPr>
          <w:rFonts w:ascii="仿宋_GB2312" w:eastAsia="仿宋_GB2312" w:hAnsi="仿宋_GB2312"/>
          <w:b/>
          <w:bCs/>
          <w:kern w:val="0"/>
          <w:sz w:val="32"/>
          <w:szCs w:val="32"/>
        </w:rPr>
        <w:t xml:space="preserve">深入推进招生就业工作，提升学校社会影响力  </w:t>
      </w:r>
    </w:p>
    <w:p w14:paraId="7F9FD308" w14:textId="0157CC10"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我校紧紧围绕提高人才培养质量，全方位提升招生就业工作水平，2019年学校录取第一志愿投档率100%、新生报到率89.58%，普通高考、学考招生录取分数均位居全省高职院校前10名，3+证书招生位居前5名。落实高职扩招政策，2019年增加</w:t>
      </w:r>
      <w:r w:rsidR="003201D1">
        <w:rPr>
          <w:rFonts w:ascii="仿宋_GB2312" w:eastAsia="仿宋_GB2312" w:hAnsi="宋体" w:cs="Times New Roman" w:hint="eastAsia"/>
          <w:sz w:val="32"/>
          <w:szCs w:val="32"/>
        </w:rPr>
        <w:t>学位1770个</w:t>
      </w:r>
      <w:r w:rsidRPr="00463F80">
        <w:rPr>
          <w:rFonts w:ascii="仿宋_GB2312" w:eastAsia="仿宋_GB2312" w:hAnsi="宋体" w:cs="Times New Roman"/>
          <w:sz w:val="32"/>
          <w:szCs w:val="32"/>
        </w:rPr>
        <w:t>，顺利完成扩招任务。积极拓宽就业渠道，2019年毕业生就业岗位供需比超过5：1，毕业生总体就业率达到99.92%，初次就业对口率为92.95%、平均就业起薪线为4398元/月，就业质量持续保持高水平；学校成功承办广东省2020届普通高校毕业生综合类高职高专专场供需见面会（全省3所承办的高职院校之一），为毕业生提供优质就业服务。学校超额完成征兵工作，被评为2018年度广东省征兵工作先进单位。</w:t>
      </w:r>
    </w:p>
    <w:p w14:paraId="316FDE61" w14:textId="60879B4F" w:rsidR="0048780F" w:rsidRPr="00463F80" w:rsidRDefault="00E46C9E" w:rsidP="009C7A21">
      <w:pPr>
        <w:spacing w:line="312" w:lineRule="auto"/>
        <w:ind w:firstLine="643"/>
        <w:jc w:val="left"/>
        <w:rPr>
          <w:rFonts w:ascii="微软雅黑" w:eastAsia="微软雅黑" w:hAnsi="微软雅黑"/>
          <w:szCs w:val="21"/>
        </w:rPr>
      </w:pPr>
      <w:r w:rsidRPr="00463F80">
        <w:rPr>
          <w:rFonts w:ascii="仿宋_GB2312" w:eastAsia="仿宋_GB2312" w:hAnsi="仿宋_GB2312" w:hint="eastAsia"/>
          <w:b/>
          <w:bCs/>
          <w:kern w:val="0"/>
          <w:sz w:val="32"/>
          <w:szCs w:val="32"/>
        </w:rPr>
        <w:t>6.</w:t>
      </w:r>
      <w:r w:rsidR="0043517D" w:rsidRPr="00463F80">
        <w:rPr>
          <w:rFonts w:ascii="仿宋_GB2312" w:eastAsia="仿宋_GB2312" w:hAnsi="仿宋_GB2312"/>
          <w:b/>
          <w:bCs/>
          <w:kern w:val="0"/>
          <w:sz w:val="32"/>
          <w:szCs w:val="32"/>
        </w:rPr>
        <w:t>大力推进“强师工程”，引培优秀人才</w:t>
      </w:r>
    </w:p>
    <w:p w14:paraId="2BB30E79" w14:textId="45518FC2" w:rsidR="0048780F" w:rsidRPr="00463F80" w:rsidRDefault="0043517D" w:rsidP="009F65D9">
      <w:pPr>
        <w:spacing w:line="560" w:lineRule="exact"/>
        <w:ind w:firstLine="640"/>
        <w:rPr>
          <w:rFonts w:ascii="仿宋_GB2312" w:eastAsia="仿宋_GB2312" w:hAnsi="宋体" w:cs="Times New Roman"/>
          <w:sz w:val="32"/>
          <w:szCs w:val="32"/>
        </w:rPr>
      </w:pPr>
      <w:r w:rsidRPr="00463F80">
        <w:rPr>
          <w:rFonts w:ascii="仿宋_GB2312" w:eastAsia="仿宋_GB2312" w:hAnsi="宋体" w:cs="Times New Roman"/>
          <w:sz w:val="32"/>
          <w:szCs w:val="32"/>
        </w:rPr>
        <w:t>2019年我校新增2个国家级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双师型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教师培养培训基地落实</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强师工程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战略，2019年共引进61名教师，成功申报了1名二级教授，聘请了客座教授、省级教学名师、专业领军人才等9名高层次人才。新增国家级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双师型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教师培养培训基地2个（虚拟现实应用技术国家级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双师型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教师培养培训基地、测绘地理信息技术</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双师型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教师培养培训基地）。立项建设了10个校级</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双师型</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教师培养培训基地。全年共开展了八大类培训，培训教师749人次，3名教师成功入选国内访问学者项目。取得2018年度省直事业单位绩效考核一等奖。设立教学系，改革系主任、副主任岗位设置和绩效工资发放方式。组织了教师发展与诊断服务，邀请校外专家为我校高层次人才发展进行会诊。开展师德主题教育月系列活动，评选学校</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师德楷模</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2名，发布逾30余篇学校先进典型报道等，以</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黄大年式教师团队</w:t>
      </w:r>
      <w:r w:rsidRPr="00463F80">
        <w:rPr>
          <w:rFonts w:ascii="仿宋_GB2312" w:eastAsia="仿宋_GB2312" w:hAnsi="宋体" w:cs="Times New Roman"/>
          <w:sz w:val="32"/>
          <w:szCs w:val="32"/>
        </w:rPr>
        <w:t>”</w:t>
      </w:r>
      <w:r w:rsidRPr="00463F80">
        <w:rPr>
          <w:rFonts w:ascii="仿宋_GB2312" w:eastAsia="仿宋_GB2312" w:hAnsi="宋体" w:cs="Times New Roman"/>
          <w:sz w:val="32"/>
          <w:szCs w:val="32"/>
        </w:rPr>
        <w:t>为标准打造学校教师团队。</w:t>
      </w:r>
    </w:p>
    <w:p w14:paraId="0F3F0CA1" w14:textId="030F7837" w:rsidR="0048780F" w:rsidRPr="00463F80" w:rsidRDefault="00E46C9E" w:rsidP="009C7A21">
      <w:pPr>
        <w:spacing w:line="312" w:lineRule="auto"/>
        <w:ind w:firstLine="643"/>
        <w:jc w:val="left"/>
        <w:rPr>
          <w:rFonts w:ascii="微软雅黑" w:eastAsia="微软雅黑" w:hAnsi="微软雅黑"/>
          <w:szCs w:val="21"/>
        </w:rPr>
      </w:pPr>
      <w:r w:rsidRPr="00463F80">
        <w:rPr>
          <w:rFonts w:ascii="仿宋_GB2312" w:eastAsia="仿宋_GB2312" w:hAnsi="仿宋_GB2312" w:hint="eastAsia"/>
          <w:b/>
          <w:bCs/>
          <w:kern w:val="0"/>
          <w:sz w:val="32"/>
          <w:szCs w:val="32"/>
        </w:rPr>
        <w:t>7.</w:t>
      </w:r>
      <w:r w:rsidR="0043517D" w:rsidRPr="00463F80">
        <w:rPr>
          <w:rFonts w:ascii="仿宋_GB2312" w:eastAsia="仿宋_GB2312" w:hAnsi="仿宋_GB2312"/>
          <w:b/>
          <w:bCs/>
          <w:kern w:val="0"/>
          <w:sz w:val="32"/>
          <w:szCs w:val="32"/>
        </w:rPr>
        <w:t>继续扩大国际交流与合作，服务“一带一路”建设</w:t>
      </w:r>
    </w:p>
    <w:p w14:paraId="00D439B5" w14:textId="5E8710DB" w:rsidR="0048780F" w:rsidRPr="00463F80" w:rsidRDefault="0043517D" w:rsidP="00D85009">
      <w:pPr>
        <w:spacing w:line="560" w:lineRule="exact"/>
        <w:ind w:firstLine="640"/>
        <w:rPr>
          <w:rFonts w:ascii="仿宋_GB2312" w:eastAsia="仿宋_GB2312" w:hAnsi="仿宋_GB2312"/>
          <w:sz w:val="32"/>
          <w:szCs w:val="32"/>
        </w:rPr>
      </w:pPr>
      <w:r w:rsidRPr="00463F80">
        <w:rPr>
          <w:rFonts w:ascii="仿宋_GB2312" w:eastAsia="仿宋_GB2312" w:hAnsi="仿宋_GB2312"/>
          <w:sz w:val="32"/>
          <w:szCs w:val="32"/>
        </w:rPr>
        <w:t>2019年我校入选教育部职业教育“走出去”试点项目高校，筹办中国-赞比亚职业技术学院工贸分院协同央企推进国际产能合作，创新职教国际合作新模式，培养“可迁移”高端国际化人才。招收学历留学生9人（机械制造与自动化专业），非学历留学生25人。来自英国等多所高校或机构共16批代表来访学校，邀请国外专家举办了10次学术交流活动。组建了中国赞比亚职业技术学院分院，开设导游专业并制定专业标准和编写工业汉语教材。选派优秀教师赴赞为央企员工开展培训，培训量达1800人日/年。拓宽“粤港澳”职教合作渠道，探索学历学位互认机制。成功申报“2019广东省重点高端外国专家引进计划”并获支助项目“中英废弃物再利用绿色工业设计的研究与实践”，提升了学校社会声誉。荣获“2019亚太职业院校影响力50强”“广东省高等院校对外交流与合作先进集体奖”和2019中国（西安）世界职业教育大会优秀案例等殊荣。</w:t>
      </w:r>
    </w:p>
    <w:p w14:paraId="44A1B60C" w14:textId="694031FD" w:rsidR="00B4519D" w:rsidRPr="00463F80" w:rsidRDefault="00B4519D" w:rsidP="00B27EBE">
      <w:pPr>
        <w:pStyle w:val="3"/>
        <w:ind w:firstLine="643"/>
      </w:pPr>
      <w:bookmarkStart w:id="23" w:name="_Toc41904209"/>
      <w:r w:rsidRPr="00463F80">
        <w:rPr>
          <w:rFonts w:hint="eastAsia"/>
        </w:rPr>
        <w:t>（二）部门支出总体绩效指标完成情况</w:t>
      </w:r>
      <w:bookmarkEnd w:id="23"/>
    </w:p>
    <w:p w14:paraId="78AB9FBC" w14:textId="2ED7E1CE" w:rsidR="00B4519D" w:rsidRPr="00463F80" w:rsidRDefault="00B4519D" w:rsidP="0066256F">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2019年，在省委、省政府的关心支持下，在省委教育工委、省教育厅的直接领导下，通过全校师生的不断进取，我校按计划完成了总体绩效指标，完成情况见表8</w:t>
      </w:r>
    </w:p>
    <w:tbl>
      <w:tblPr>
        <w:tblStyle w:val="a"/>
        <w:tblW w:w="9812" w:type="dxa"/>
        <w:tblInd w:w="270" w:type="dxa"/>
        <w:tblLook w:val="04A0" w:firstRow="1" w:lastRow="0" w:firstColumn="1" w:lastColumn="0" w:noHBand="0" w:noVBand="1"/>
      </w:tblPr>
      <w:tblGrid>
        <w:gridCol w:w="547"/>
        <w:gridCol w:w="1296"/>
        <w:gridCol w:w="1189"/>
        <w:gridCol w:w="851"/>
        <w:gridCol w:w="4744"/>
        <w:gridCol w:w="1185"/>
      </w:tblGrid>
      <w:tr w:rsidR="00463F80" w:rsidRPr="00463F80" w14:paraId="08169539" w14:textId="77777777" w:rsidTr="00350976">
        <w:trPr>
          <w:trHeight w:val="660"/>
        </w:trPr>
        <w:tc>
          <w:tcPr>
            <w:tcW w:w="9812" w:type="dxa"/>
            <w:gridSpan w:val="6"/>
            <w:tcBorders>
              <w:top w:val="nil"/>
              <w:left w:val="nil"/>
              <w:bottom w:val="nil"/>
              <w:right w:val="nil"/>
            </w:tcBorders>
            <w:shd w:val="clear" w:color="auto" w:fill="FFFFFF"/>
          </w:tcPr>
          <w:p w14:paraId="750CD364" w14:textId="77777777" w:rsidR="00871966" w:rsidRPr="00463F80" w:rsidRDefault="00871966" w:rsidP="00871966">
            <w:pPr>
              <w:spacing w:line="312" w:lineRule="auto"/>
              <w:ind w:firstLineChars="600" w:firstLine="1687"/>
              <w:rPr>
                <w:rFonts w:ascii="仿宋" w:eastAsia="仿宋" w:hAnsi="仿宋"/>
                <w:b/>
                <w:bCs/>
                <w:sz w:val="36"/>
                <w:szCs w:val="36"/>
              </w:rPr>
            </w:pPr>
            <w:bookmarkStart w:id="24" w:name="_Toc41904210"/>
            <w:r w:rsidRPr="00463F80">
              <w:rPr>
                <w:rFonts w:ascii="宋体" w:hAnsi="宋体" w:hint="eastAsia"/>
                <w:b/>
                <w:sz w:val="28"/>
                <w:szCs w:val="28"/>
              </w:rPr>
              <w:t>表8</w:t>
            </w:r>
            <w:r w:rsidRPr="00463F80">
              <w:rPr>
                <w:rFonts w:ascii="宋体" w:hAnsi="宋体"/>
                <w:b/>
                <w:sz w:val="28"/>
                <w:szCs w:val="28"/>
              </w:rPr>
              <w:t xml:space="preserve"> </w:t>
            </w:r>
            <w:r w:rsidRPr="00463F80">
              <w:rPr>
                <w:rFonts w:ascii="宋体" w:hAnsi="宋体" w:hint="eastAsia"/>
                <w:b/>
                <w:sz w:val="28"/>
                <w:szCs w:val="28"/>
              </w:rPr>
              <w:t xml:space="preserve"> </w:t>
            </w:r>
            <w:r w:rsidRPr="00463F80">
              <w:rPr>
                <w:rFonts w:ascii="宋体" w:hAnsi="宋体"/>
                <w:b/>
                <w:sz w:val="28"/>
                <w:szCs w:val="28"/>
              </w:rPr>
              <w:t>部门支出总体绩效</w:t>
            </w:r>
            <w:r w:rsidRPr="00463F80">
              <w:rPr>
                <w:rFonts w:ascii="宋体" w:hAnsi="宋体" w:hint="eastAsia"/>
                <w:b/>
                <w:sz w:val="28"/>
                <w:szCs w:val="28"/>
              </w:rPr>
              <w:t>指</w:t>
            </w:r>
            <w:r w:rsidRPr="00463F80">
              <w:rPr>
                <w:rFonts w:ascii="宋体" w:hAnsi="宋体"/>
                <w:b/>
                <w:sz w:val="28"/>
                <w:szCs w:val="28"/>
              </w:rPr>
              <w:t>标完成情况</w:t>
            </w:r>
          </w:p>
        </w:tc>
      </w:tr>
      <w:tr w:rsidR="00463F80" w:rsidRPr="00463F80" w14:paraId="0B908B41" w14:textId="77777777" w:rsidTr="00350976">
        <w:trPr>
          <w:trHeight w:val="795"/>
        </w:trPr>
        <w:tc>
          <w:tcPr>
            <w:tcW w:w="547" w:type="dxa"/>
            <w:tcBorders>
              <w:top w:val="single" w:sz="4" w:space="0" w:color="auto"/>
              <w:left w:val="single" w:sz="8" w:space="0" w:color="000000"/>
              <w:bottom w:val="single" w:sz="8" w:space="0" w:color="000000"/>
              <w:right w:val="single" w:sz="8" w:space="0" w:color="000000"/>
            </w:tcBorders>
            <w:shd w:val="clear" w:color="auto" w:fill="FFFFFF"/>
            <w:vAlign w:val="center"/>
          </w:tcPr>
          <w:p w14:paraId="656762C7"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序号</w:t>
            </w:r>
          </w:p>
        </w:tc>
        <w:tc>
          <w:tcPr>
            <w:tcW w:w="1296" w:type="dxa"/>
            <w:tcBorders>
              <w:top w:val="single" w:sz="4" w:space="0" w:color="auto"/>
              <w:left w:val="single" w:sz="8" w:space="0" w:color="000000"/>
              <w:bottom w:val="single" w:sz="8" w:space="0" w:color="000000"/>
              <w:right w:val="single" w:sz="8" w:space="0" w:color="000000"/>
            </w:tcBorders>
            <w:shd w:val="clear" w:color="auto" w:fill="FFFFFF"/>
            <w:vAlign w:val="center"/>
          </w:tcPr>
          <w:p w14:paraId="4A45598A"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三级指标</w:t>
            </w:r>
          </w:p>
        </w:tc>
        <w:tc>
          <w:tcPr>
            <w:tcW w:w="1189" w:type="dxa"/>
            <w:tcBorders>
              <w:top w:val="single" w:sz="4" w:space="0" w:color="auto"/>
              <w:left w:val="single" w:sz="8" w:space="0" w:color="000000"/>
              <w:bottom w:val="single" w:sz="8" w:space="0" w:color="000000"/>
              <w:right w:val="single" w:sz="8" w:space="0" w:color="000000"/>
            </w:tcBorders>
            <w:shd w:val="clear" w:color="auto" w:fill="FFFFFF"/>
            <w:vAlign w:val="center"/>
          </w:tcPr>
          <w:p w14:paraId="6188D687"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当年度指标值</w:t>
            </w:r>
          </w:p>
        </w:tc>
        <w:tc>
          <w:tcPr>
            <w:tcW w:w="851" w:type="dxa"/>
            <w:tcBorders>
              <w:top w:val="single" w:sz="4" w:space="0" w:color="auto"/>
              <w:left w:val="single" w:sz="8" w:space="0" w:color="000000"/>
              <w:bottom w:val="single" w:sz="8" w:space="0" w:color="000000"/>
              <w:right w:val="single" w:sz="8" w:space="0" w:color="000000"/>
            </w:tcBorders>
            <w:shd w:val="clear" w:color="auto" w:fill="FFFFFF"/>
            <w:vAlign w:val="center"/>
          </w:tcPr>
          <w:p w14:paraId="599AD94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是否完成</w:t>
            </w:r>
          </w:p>
        </w:tc>
        <w:tc>
          <w:tcPr>
            <w:tcW w:w="4744" w:type="dxa"/>
            <w:tcBorders>
              <w:top w:val="single" w:sz="4" w:space="0" w:color="auto"/>
              <w:left w:val="single" w:sz="8" w:space="0" w:color="000000"/>
              <w:bottom w:val="single" w:sz="8" w:space="0" w:color="000000"/>
              <w:right w:val="single" w:sz="8" w:space="0" w:color="000000"/>
            </w:tcBorders>
            <w:shd w:val="clear" w:color="auto" w:fill="FFFFFF"/>
            <w:vAlign w:val="center"/>
          </w:tcPr>
          <w:p w14:paraId="248D4EC8"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完成情况</w:t>
            </w:r>
          </w:p>
        </w:tc>
        <w:tc>
          <w:tcPr>
            <w:tcW w:w="1089" w:type="dxa"/>
            <w:tcBorders>
              <w:top w:val="single" w:sz="4" w:space="0" w:color="auto"/>
              <w:left w:val="single" w:sz="8" w:space="0" w:color="000000"/>
              <w:bottom w:val="single" w:sz="8" w:space="0" w:color="000000"/>
              <w:right w:val="single" w:sz="8" w:space="0" w:color="000000"/>
            </w:tcBorders>
            <w:shd w:val="clear" w:color="auto" w:fill="FFFFFF"/>
            <w:vAlign w:val="center"/>
          </w:tcPr>
          <w:p w14:paraId="5C142306"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备注</w:t>
            </w:r>
          </w:p>
        </w:tc>
      </w:tr>
      <w:tr w:rsidR="00463F80" w:rsidRPr="00463F80" w14:paraId="5B8CDD0D" w14:textId="77777777" w:rsidTr="00350976">
        <w:trPr>
          <w:trHeight w:val="51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3AE992"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1F5F47"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报到率（%）</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970D72"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≥87 %</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EBA26A"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C2616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2019年新生报到率89.58%</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E6170"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0AF3E205" w14:textId="77777777" w:rsidTr="00350976">
        <w:trPr>
          <w:trHeight w:val="39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0933FC"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2</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1C127A"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新增学位</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FDBA8B" w14:textId="6AF37128" w:rsidR="00871966" w:rsidRPr="00463F80" w:rsidRDefault="003201D1" w:rsidP="00350976">
            <w:pPr>
              <w:ind w:firstLineChars="20" w:firstLine="48"/>
              <w:jc w:val="center"/>
              <w:rPr>
                <w:rFonts w:ascii="仿宋" w:eastAsia="仿宋" w:hAnsi="仿宋" w:cs="宋体"/>
                <w:kern w:val="0"/>
                <w:sz w:val="24"/>
                <w:szCs w:val="24"/>
              </w:rPr>
            </w:pPr>
            <w:r>
              <w:rPr>
                <w:rFonts w:ascii="仿宋" w:eastAsia="仿宋" w:hAnsi="仿宋" w:cs="宋体" w:hint="eastAsia"/>
                <w:kern w:val="0"/>
                <w:sz w:val="24"/>
                <w:szCs w:val="24"/>
              </w:rPr>
              <w:t>1300个</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EA59BD"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816912" w14:textId="1848FB41" w:rsidR="00871966" w:rsidRPr="00463F80" w:rsidRDefault="003201D1" w:rsidP="00350976">
            <w:pPr>
              <w:ind w:firstLineChars="20" w:firstLine="48"/>
              <w:jc w:val="center"/>
              <w:rPr>
                <w:rFonts w:ascii="仿宋" w:eastAsia="仿宋" w:hAnsi="仿宋" w:cs="宋体"/>
                <w:kern w:val="0"/>
                <w:sz w:val="24"/>
                <w:szCs w:val="24"/>
              </w:rPr>
            </w:pPr>
            <w:r w:rsidRPr="003201D1">
              <w:rPr>
                <w:rFonts w:ascii="仿宋" w:eastAsia="仿宋" w:hAnsi="仿宋" w:cs="宋体" w:hint="eastAsia"/>
                <w:kern w:val="0"/>
                <w:sz w:val="24"/>
                <w:szCs w:val="24"/>
              </w:rPr>
              <w:t>1770</w:t>
            </w:r>
            <w:r>
              <w:rPr>
                <w:rFonts w:ascii="仿宋" w:eastAsia="仿宋" w:hAnsi="仿宋" w:cs="宋体" w:hint="eastAsia"/>
                <w:kern w:val="0"/>
                <w:sz w:val="24"/>
                <w:szCs w:val="24"/>
              </w:rPr>
              <w:t>个</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8C754"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02D82D32" w14:textId="77777777" w:rsidTr="00350976">
        <w:trPr>
          <w:trHeight w:val="79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32A10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3</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5745E8"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高层次人才引培数</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21A501"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6人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C3FB65"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9017F9"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10人</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F493D5"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21FF245C" w14:textId="77777777" w:rsidTr="00350976">
        <w:trPr>
          <w:trHeight w:val="79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4A9056"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4</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8FFD6C"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新增高等学校省级领军人才</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FA0256"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385883"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A8671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1人</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86C9F8"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6686E3DD" w14:textId="77777777" w:rsidTr="009D2318">
        <w:trPr>
          <w:trHeight w:val="2430"/>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229B29"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5</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A76782"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高职“创新强校工程”顺利推进</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3BB0D" w14:textId="77777777" w:rsidR="00350976" w:rsidRPr="00463F80" w:rsidRDefault="00F85FA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考核</w:t>
            </w:r>
          </w:p>
          <w:p w14:paraId="1954C567" w14:textId="6DAB9918" w:rsidR="00350976" w:rsidRPr="00463F80" w:rsidRDefault="00F85FA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全省</w:t>
            </w:r>
          </w:p>
          <w:p w14:paraId="073ACA7C" w14:textId="6425CF04" w:rsidR="00871966" w:rsidRPr="00463F80" w:rsidRDefault="00F85FA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前</w:t>
            </w:r>
            <w:r w:rsidRPr="00463F80">
              <w:rPr>
                <w:rFonts w:ascii="仿宋" w:eastAsia="仿宋" w:hAnsi="仿宋" w:cs="宋体" w:hint="eastAsia"/>
                <w:kern w:val="0"/>
                <w:sz w:val="24"/>
                <w:szCs w:val="24"/>
              </w:rPr>
              <w:t>10名</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76ABDE"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AC6606"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2019年新增标志性成果370项，其中国家级142项，省级228项；其中，获得骨干专业、生产性实训基地、协同创新中心、“双师型”教师培养培训基地共9项国家级项目认定。另获省级以上学生素质成果202项。办学实力显著提升，学校在2019年度“创新强校工程”考核全省排名第八。</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D2D01E"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7958AFE8" w14:textId="77777777" w:rsidTr="009D2318">
        <w:trPr>
          <w:trHeight w:val="975"/>
        </w:trPr>
        <w:tc>
          <w:tcPr>
            <w:tcW w:w="547"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5FE094BD"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6</w:t>
            </w:r>
          </w:p>
        </w:tc>
        <w:tc>
          <w:tcPr>
            <w:tcW w:w="1296"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445EEF1E" w14:textId="77777777" w:rsidR="0035097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科研</w:t>
            </w:r>
          </w:p>
          <w:p w14:paraId="45B6EF60" w14:textId="09082A8B"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平台数</w:t>
            </w:r>
          </w:p>
        </w:tc>
        <w:tc>
          <w:tcPr>
            <w:tcW w:w="1189"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60A121D"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国家级1个，省级1个。</w:t>
            </w:r>
          </w:p>
        </w:tc>
        <w:tc>
          <w:tcPr>
            <w:tcW w:w="851"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B65AD04"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26AB3B0F"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国家级2个，省级1个。</w:t>
            </w:r>
          </w:p>
        </w:tc>
        <w:tc>
          <w:tcPr>
            <w:tcW w:w="1089"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120588AA" w14:textId="77777777" w:rsidR="00871966" w:rsidRPr="00463F80" w:rsidRDefault="00871966" w:rsidP="00350976">
            <w:pPr>
              <w:ind w:firstLineChars="20" w:firstLine="48"/>
              <w:jc w:val="center"/>
              <w:rPr>
                <w:rFonts w:ascii="仿宋" w:eastAsia="仿宋" w:hAnsi="仿宋" w:cs="宋体"/>
                <w:kern w:val="0"/>
                <w:sz w:val="24"/>
                <w:szCs w:val="24"/>
              </w:rPr>
            </w:pPr>
          </w:p>
        </w:tc>
      </w:tr>
      <w:tr w:rsidR="005A12FE" w:rsidRPr="00463F80" w14:paraId="4F5E08E4" w14:textId="77777777" w:rsidTr="009D2318">
        <w:trPr>
          <w:trHeight w:val="975"/>
        </w:trPr>
        <w:tc>
          <w:tcPr>
            <w:tcW w:w="547" w:type="dxa"/>
            <w:vMerge w:val="restart"/>
            <w:tcBorders>
              <w:top w:val="single" w:sz="4" w:space="0" w:color="000000"/>
              <w:left w:val="single" w:sz="8" w:space="0" w:color="000000"/>
              <w:right w:val="single" w:sz="8" w:space="0" w:color="000000"/>
            </w:tcBorders>
            <w:shd w:val="clear" w:color="auto" w:fill="FFFFFF"/>
            <w:vAlign w:val="center"/>
          </w:tcPr>
          <w:p w14:paraId="7CE38DFF" w14:textId="0FB93E0D" w:rsidR="005A12FE" w:rsidRPr="00463F80" w:rsidRDefault="005A12FE" w:rsidP="00350976">
            <w:pPr>
              <w:ind w:firstLineChars="20" w:firstLine="48"/>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1296" w:type="dxa"/>
            <w:vMerge w:val="restart"/>
            <w:tcBorders>
              <w:top w:val="single" w:sz="4" w:space="0" w:color="000000"/>
              <w:left w:val="single" w:sz="8" w:space="0" w:color="000000"/>
              <w:right w:val="single" w:sz="8" w:space="0" w:color="000000"/>
            </w:tcBorders>
            <w:shd w:val="clear" w:color="auto" w:fill="FFFFFF"/>
            <w:vAlign w:val="center"/>
          </w:tcPr>
          <w:p w14:paraId="40CB6F2A" w14:textId="270CB437" w:rsidR="005A12FE" w:rsidRPr="00463F80" w:rsidRDefault="005A12F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改善办学环境，提高学校竞争力，延续可持续发展</w:t>
            </w:r>
          </w:p>
        </w:tc>
        <w:tc>
          <w:tcPr>
            <w:tcW w:w="118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7747DF1" w14:textId="6F6D8C5F" w:rsidR="005A12FE" w:rsidRPr="00463F80" w:rsidRDefault="005A12F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强力推进“提毛计划”，“扩容”项目顺利开工</w:t>
            </w:r>
          </w:p>
        </w:tc>
        <w:tc>
          <w:tcPr>
            <w:tcW w:w="85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B105EAB" w14:textId="129518A7" w:rsidR="005A12FE" w:rsidRPr="00463F80" w:rsidRDefault="005A12FE" w:rsidP="00350976">
            <w:pPr>
              <w:ind w:firstLineChars="20" w:firstLine="48"/>
              <w:jc w:val="center"/>
              <w:rPr>
                <w:rFonts w:ascii="仿宋" w:eastAsia="仿宋" w:hAnsi="仿宋" w:cs="宋体"/>
                <w:kern w:val="0"/>
                <w:sz w:val="24"/>
                <w:szCs w:val="24"/>
              </w:rPr>
            </w:pPr>
            <w:r>
              <w:rPr>
                <w:rFonts w:ascii="仿宋" w:eastAsia="仿宋" w:hAnsi="仿宋" w:cs="宋体"/>
                <w:kern w:val="0"/>
                <w:sz w:val="24"/>
                <w:szCs w:val="24"/>
              </w:rPr>
              <w:t>是</w:t>
            </w:r>
          </w:p>
        </w:tc>
        <w:tc>
          <w:tcPr>
            <w:tcW w:w="4744"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E0C90FA" w14:textId="427C0DBD" w:rsidR="005A12FE" w:rsidRPr="00463F80" w:rsidRDefault="005A12F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顺利完成2019-2021年提高高等教育毛入学率基本建设项目规划方案编制，图书信息综合楼项目被列入广东省重点建设项目。学生宿舍（自编号16#）如期顺利开工，迈出了“扩容”建设的关键一步，</w:t>
            </w:r>
            <w:r>
              <w:rPr>
                <w:rFonts w:ascii="仿宋" w:eastAsia="仿宋" w:hAnsi="仿宋" w:cs="宋体"/>
                <w:kern w:val="0"/>
                <w:sz w:val="24"/>
                <w:szCs w:val="24"/>
              </w:rPr>
              <w:t>新增</w:t>
            </w:r>
            <w:r>
              <w:rPr>
                <w:rFonts w:ascii="仿宋" w:eastAsia="仿宋" w:hAnsi="仿宋" w:cs="宋体" w:hint="eastAsia"/>
                <w:kern w:val="0"/>
                <w:sz w:val="24"/>
                <w:szCs w:val="24"/>
              </w:rPr>
              <w:t>2000个学生床位，</w:t>
            </w:r>
            <w:r w:rsidRPr="00463F80">
              <w:rPr>
                <w:rFonts w:ascii="仿宋" w:eastAsia="仿宋" w:hAnsi="仿宋" w:cs="宋体"/>
                <w:kern w:val="0"/>
                <w:sz w:val="24"/>
                <w:szCs w:val="24"/>
              </w:rPr>
              <w:t>为学校“提毛计划”的实施及今后发展打下坚实基础。</w:t>
            </w:r>
          </w:p>
        </w:tc>
        <w:tc>
          <w:tcPr>
            <w:tcW w:w="118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3228BE8" w14:textId="77777777" w:rsidR="005A12FE" w:rsidRPr="00463F80" w:rsidRDefault="005A12FE" w:rsidP="00350976">
            <w:pPr>
              <w:ind w:firstLineChars="20" w:firstLine="48"/>
              <w:jc w:val="center"/>
              <w:rPr>
                <w:rFonts w:ascii="仿宋" w:eastAsia="仿宋" w:hAnsi="仿宋" w:cs="宋体"/>
                <w:kern w:val="0"/>
                <w:sz w:val="24"/>
                <w:szCs w:val="24"/>
              </w:rPr>
            </w:pPr>
          </w:p>
        </w:tc>
      </w:tr>
      <w:tr w:rsidR="005A12FE" w:rsidRPr="00463F80" w14:paraId="400E67F4" w14:textId="77777777" w:rsidTr="00D85009">
        <w:trPr>
          <w:trHeight w:val="548"/>
        </w:trPr>
        <w:tc>
          <w:tcPr>
            <w:tcW w:w="547" w:type="dxa"/>
            <w:vMerge/>
            <w:tcBorders>
              <w:left w:val="single" w:sz="8" w:space="0" w:color="000000"/>
              <w:bottom w:val="single" w:sz="8" w:space="0" w:color="000000"/>
              <w:right w:val="single" w:sz="8" w:space="0" w:color="000000"/>
            </w:tcBorders>
            <w:shd w:val="clear" w:color="auto" w:fill="FFFFFF"/>
            <w:vAlign w:val="center"/>
          </w:tcPr>
          <w:p w14:paraId="5A61426D" w14:textId="64C1AB23" w:rsidR="005A12FE" w:rsidRPr="00463F80" w:rsidRDefault="005A12FE" w:rsidP="00350976">
            <w:pPr>
              <w:ind w:firstLineChars="20" w:firstLine="48"/>
              <w:jc w:val="center"/>
              <w:rPr>
                <w:rFonts w:ascii="仿宋" w:eastAsia="仿宋" w:hAnsi="仿宋" w:cs="宋体"/>
                <w:kern w:val="0"/>
                <w:sz w:val="24"/>
                <w:szCs w:val="24"/>
              </w:rPr>
            </w:pPr>
          </w:p>
        </w:tc>
        <w:tc>
          <w:tcPr>
            <w:tcW w:w="1296" w:type="dxa"/>
            <w:vMerge/>
            <w:tcBorders>
              <w:left w:val="single" w:sz="8" w:space="0" w:color="000000"/>
              <w:bottom w:val="single" w:sz="8" w:space="0" w:color="000000"/>
              <w:right w:val="single" w:sz="8" w:space="0" w:color="000000"/>
            </w:tcBorders>
            <w:shd w:val="clear" w:color="auto" w:fill="FFFFFF"/>
            <w:vAlign w:val="center"/>
          </w:tcPr>
          <w:p w14:paraId="603E460F" w14:textId="15090B82" w:rsidR="005A12FE" w:rsidRPr="00463F80" w:rsidRDefault="005A12FE" w:rsidP="00350976">
            <w:pPr>
              <w:ind w:firstLineChars="20" w:firstLine="48"/>
              <w:jc w:val="center"/>
              <w:rPr>
                <w:rFonts w:ascii="仿宋" w:eastAsia="仿宋" w:hAnsi="仿宋" w:cs="宋体"/>
                <w:kern w:val="0"/>
                <w:sz w:val="24"/>
                <w:szCs w:val="24"/>
              </w:rPr>
            </w:pP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128DF5" w14:textId="19F01D73" w:rsidR="005A12FE" w:rsidRPr="00463F80" w:rsidRDefault="005A12FE" w:rsidP="005A12FE">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争取</w:t>
            </w:r>
            <w:r>
              <w:rPr>
                <w:rFonts w:ascii="仿宋" w:eastAsia="仿宋" w:hAnsi="仿宋" w:cs="宋体" w:hint="eastAsia"/>
                <w:kern w:val="0"/>
                <w:sz w:val="24"/>
                <w:szCs w:val="24"/>
              </w:rPr>
              <w:t>成为</w:t>
            </w:r>
            <w:r w:rsidRPr="00463F80">
              <w:rPr>
                <w:rFonts w:ascii="仿宋" w:eastAsia="仿宋" w:hAnsi="仿宋" w:cs="宋体"/>
                <w:kern w:val="0"/>
                <w:sz w:val="24"/>
                <w:szCs w:val="24"/>
              </w:rPr>
              <w:t>国家</w:t>
            </w:r>
            <w:r>
              <w:rPr>
                <w:rFonts w:ascii="仿宋" w:eastAsia="仿宋" w:hAnsi="仿宋" w:cs="宋体" w:hint="eastAsia"/>
                <w:kern w:val="0"/>
                <w:sz w:val="24"/>
                <w:szCs w:val="24"/>
              </w:rPr>
              <w:t>双</w:t>
            </w:r>
            <w:r w:rsidRPr="00463F80">
              <w:rPr>
                <w:rFonts w:ascii="仿宋" w:eastAsia="仿宋" w:hAnsi="仿宋" w:cs="宋体"/>
                <w:kern w:val="0"/>
                <w:sz w:val="24"/>
                <w:szCs w:val="24"/>
              </w:rPr>
              <w:t>高</w:t>
            </w:r>
            <w:r>
              <w:rPr>
                <w:rFonts w:ascii="仿宋" w:eastAsia="仿宋" w:hAnsi="仿宋" w:cs="宋体" w:hint="eastAsia"/>
                <w:kern w:val="0"/>
                <w:sz w:val="24"/>
                <w:szCs w:val="24"/>
              </w:rPr>
              <w:t>(专业群)</w:t>
            </w:r>
            <w:r w:rsidRPr="00463F80">
              <w:rPr>
                <w:rFonts w:ascii="仿宋" w:eastAsia="仿宋" w:hAnsi="仿宋" w:cs="宋体"/>
                <w:kern w:val="0"/>
                <w:sz w:val="24"/>
                <w:szCs w:val="24"/>
              </w:rPr>
              <w:t>校建设单位</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CC80B" w14:textId="77777777" w:rsidR="005A12FE" w:rsidRPr="00463F80" w:rsidRDefault="005A12FE"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F3383F" w14:textId="0337D37E" w:rsidR="005A12FE" w:rsidRPr="00463F80" w:rsidRDefault="005A12FE" w:rsidP="005A12FE">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成为国家</w:t>
            </w:r>
            <w:r>
              <w:rPr>
                <w:rFonts w:ascii="仿宋" w:eastAsia="仿宋" w:hAnsi="仿宋" w:cs="宋体" w:hint="eastAsia"/>
                <w:kern w:val="0"/>
                <w:sz w:val="24"/>
                <w:szCs w:val="24"/>
              </w:rPr>
              <w:t>双</w:t>
            </w:r>
            <w:r w:rsidRPr="00463F80">
              <w:rPr>
                <w:rFonts w:ascii="仿宋" w:eastAsia="仿宋" w:hAnsi="仿宋" w:cs="宋体"/>
                <w:kern w:val="0"/>
                <w:sz w:val="24"/>
                <w:szCs w:val="24"/>
              </w:rPr>
              <w:t>高校建设单位，测绘地理信息技术专业群立项为国家特色高水平专业群，模具设计与制造等</w:t>
            </w:r>
            <w:r>
              <w:rPr>
                <w:rFonts w:ascii="仿宋" w:eastAsia="仿宋" w:hAnsi="仿宋" w:cs="宋体" w:hint="eastAsia"/>
                <w:kern w:val="0"/>
                <w:sz w:val="24"/>
                <w:szCs w:val="24"/>
              </w:rPr>
              <w:t>8个</w:t>
            </w:r>
            <w:r w:rsidRPr="00463F80">
              <w:rPr>
                <w:rFonts w:ascii="仿宋" w:eastAsia="仿宋" w:hAnsi="仿宋" w:cs="宋体"/>
                <w:kern w:val="0"/>
                <w:sz w:val="24"/>
                <w:szCs w:val="24"/>
              </w:rPr>
              <w:t>专业群打造成为省级高水平专业群。</w:t>
            </w:r>
          </w:p>
        </w:tc>
        <w:tc>
          <w:tcPr>
            <w:tcW w:w="11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C19217" w14:textId="77777777" w:rsidR="005A12FE" w:rsidRPr="00463F80" w:rsidRDefault="005A12FE" w:rsidP="00350976">
            <w:pPr>
              <w:ind w:firstLineChars="20" w:firstLine="48"/>
              <w:jc w:val="center"/>
              <w:rPr>
                <w:rFonts w:ascii="仿宋" w:eastAsia="仿宋" w:hAnsi="仿宋" w:cs="宋体"/>
                <w:kern w:val="0"/>
                <w:sz w:val="24"/>
                <w:szCs w:val="24"/>
              </w:rPr>
            </w:pPr>
          </w:p>
        </w:tc>
      </w:tr>
      <w:tr w:rsidR="00463F80" w:rsidRPr="00463F80" w14:paraId="2039C449" w14:textId="77777777" w:rsidTr="00350976">
        <w:trPr>
          <w:trHeight w:val="1650"/>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B6CF31"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8</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372C39"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高职院校基本办学条件</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A83AA2"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达标</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DE2DF8"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966A2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生师比9.34、具有研究生学位教师占专任教师的比例72.05%、生均教学行政用房10.16 m2/生、生均教学科研仪器设备值9169.58元/生、生均图书47.3册/生。</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1F7BD"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1E9AD471" w14:textId="77777777" w:rsidTr="00350976">
        <w:trPr>
          <w:trHeight w:val="870"/>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2BF374"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9</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27A3EA"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因贫辍学率（%）</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C8000F"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6EDD4"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EC89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F12164" w14:textId="77777777" w:rsidR="00871966" w:rsidRPr="00463F80" w:rsidRDefault="00871966" w:rsidP="00350976">
            <w:pPr>
              <w:ind w:firstLineChars="20" w:firstLine="48"/>
              <w:jc w:val="center"/>
              <w:rPr>
                <w:rFonts w:ascii="仿宋" w:eastAsia="仿宋" w:hAnsi="仿宋" w:cs="宋体"/>
                <w:kern w:val="0"/>
                <w:sz w:val="24"/>
                <w:szCs w:val="24"/>
              </w:rPr>
            </w:pPr>
          </w:p>
        </w:tc>
      </w:tr>
      <w:tr w:rsidR="00463F80" w:rsidRPr="00463F80" w14:paraId="185840A1" w14:textId="77777777" w:rsidTr="00350976">
        <w:trPr>
          <w:trHeight w:val="79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D4C818"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10</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D20C6"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2019届毕业生就业率</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AF46E3"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95%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3F4F13"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C97939"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99.92%</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Pr>
          <w:p w14:paraId="1A3C5A13"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 xml:space="preserve">　</w:t>
            </w:r>
          </w:p>
        </w:tc>
      </w:tr>
      <w:tr w:rsidR="00463F80" w:rsidRPr="00463F80" w14:paraId="19C37E0F" w14:textId="77777777" w:rsidTr="00350976">
        <w:trPr>
          <w:trHeight w:val="226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B41D09"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11</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CA8CC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承办2018-2019年度广东省职业院校技能大赛并获奖</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6A195"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1项</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F17FF5"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C6C80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承办2018-2019年度广东省职业院校技能大赛“数控机床装调与技术改造”和“英语口语”赛项（非英语专业组和英语专业组），本校共获2019年全国职业院校技能大赛二等奖2项、三等奖2项</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Pr>
          <w:p w14:paraId="5FF3745A"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 xml:space="preserve">　</w:t>
            </w:r>
          </w:p>
        </w:tc>
      </w:tr>
      <w:tr w:rsidR="00463F80" w:rsidRPr="00463F80" w14:paraId="472D20E7" w14:textId="77777777" w:rsidTr="00350976">
        <w:trPr>
          <w:trHeight w:val="139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C7C55C"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12</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EB584D"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创建节约型校园</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A761CF"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年节约自来水10吨以上</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6001E3"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354A71"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利用河道水灌溉绿化，全年节约自来水15吨，约计30万元。被教育厅确定为2019－2020年国家节约型公共机构示范创建单位。</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Pr>
          <w:p w14:paraId="717596F5"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 xml:space="preserve">　</w:t>
            </w:r>
          </w:p>
        </w:tc>
      </w:tr>
      <w:tr w:rsidR="00463F80" w:rsidRPr="00463F80" w14:paraId="45F8D798" w14:textId="77777777" w:rsidTr="00350976">
        <w:trPr>
          <w:trHeight w:val="103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406FA"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13</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9C5C1F"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在校生满意度</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86C6AF"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m≥80 %</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114F9"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0E4F6C"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88.84%</w:t>
            </w:r>
          </w:p>
        </w:tc>
        <w:tc>
          <w:tcPr>
            <w:tcW w:w="108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009E090" w14:textId="77777777" w:rsidR="00871966" w:rsidRPr="00463F80" w:rsidRDefault="00871966" w:rsidP="00350976">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数据来源于广东工贸职业技术学院高等职业教育质量年度报告（2020年），详见佐证材料4.5</w:t>
            </w:r>
          </w:p>
        </w:tc>
      </w:tr>
      <w:tr w:rsidR="00463F80" w:rsidRPr="00463F80" w14:paraId="1E42FC13" w14:textId="77777777" w:rsidTr="00350976">
        <w:trPr>
          <w:trHeight w:val="990"/>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3AF9E" w14:textId="77777777" w:rsidR="00871966" w:rsidRPr="00463F80" w:rsidRDefault="00871966" w:rsidP="00350976">
            <w:pPr>
              <w:spacing w:line="312" w:lineRule="auto"/>
              <w:ind w:firstLine="480"/>
              <w:jc w:val="center"/>
              <w:rPr>
                <w:rFonts w:ascii="仿宋" w:eastAsia="仿宋" w:hAnsi="仿宋"/>
                <w:sz w:val="24"/>
                <w:szCs w:val="24"/>
              </w:rPr>
            </w:pPr>
            <w:r w:rsidRPr="00463F80">
              <w:rPr>
                <w:rFonts w:ascii="仿宋" w:eastAsia="仿宋" w:hAnsi="仿宋"/>
                <w:sz w:val="24"/>
                <w:szCs w:val="24"/>
              </w:rPr>
              <w:t>14</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253297"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教职工满意度</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129DCD"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≥80 %</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3C9E3C"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8F38B2"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96.58%</w:t>
            </w:r>
          </w:p>
        </w:tc>
        <w:tc>
          <w:tcPr>
            <w:tcW w:w="1089" w:type="dxa"/>
            <w:vMerge/>
            <w:tcBorders>
              <w:top w:val="single" w:sz="8" w:space="0" w:color="000000"/>
              <w:left w:val="single" w:sz="8" w:space="0" w:color="000000"/>
              <w:bottom w:val="single" w:sz="8" w:space="0" w:color="000000"/>
              <w:right w:val="single" w:sz="8" w:space="0" w:color="000000"/>
            </w:tcBorders>
            <w:shd w:val="clear" w:color="auto" w:fill="auto"/>
          </w:tcPr>
          <w:p w14:paraId="337EB06C" w14:textId="77777777" w:rsidR="00871966" w:rsidRPr="00463F80" w:rsidRDefault="00871966" w:rsidP="00350976">
            <w:pPr>
              <w:spacing w:line="312" w:lineRule="auto"/>
              <w:ind w:firstLine="480"/>
              <w:jc w:val="left"/>
              <w:rPr>
                <w:rFonts w:ascii="仿宋" w:eastAsia="仿宋" w:hAnsi="仿宋"/>
                <w:sz w:val="24"/>
                <w:szCs w:val="24"/>
              </w:rPr>
            </w:pPr>
          </w:p>
        </w:tc>
      </w:tr>
      <w:tr w:rsidR="00463F80" w:rsidRPr="00463F80" w14:paraId="3D84E7C8" w14:textId="77777777" w:rsidTr="00350976">
        <w:trPr>
          <w:trHeight w:val="1125"/>
        </w:trPr>
        <w:tc>
          <w:tcPr>
            <w:tcW w:w="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CD1A68" w14:textId="77777777" w:rsidR="00871966" w:rsidRPr="00463F80" w:rsidRDefault="00871966" w:rsidP="00350976">
            <w:pPr>
              <w:spacing w:line="312" w:lineRule="auto"/>
              <w:ind w:firstLine="480"/>
              <w:jc w:val="center"/>
              <w:rPr>
                <w:rFonts w:ascii="仿宋" w:eastAsia="仿宋" w:hAnsi="仿宋"/>
                <w:sz w:val="24"/>
                <w:szCs w:val="24"/>
              </w:rPr>
            </w:pPr>
            <w:r w:rsidRPr="00463F80">
              <w:rPr>
                <w:rFonts w:ascii="仿宋" w:eastAsia="仿宋" w:hAnsi="仿宋"/>
                <w:sz w:val="24"/>
                <w:szCs w:val="24"/>
              </w:rPr>
              <w:t>15</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7AAF6A"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家长满意度</w:t>
            </w:r>
          </w:p>
        </w:tc>
        <w:tc>
          <w:tcPr>
            <w:tcW w:w="11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A87914"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≥80 %</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39F2F8"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是</w:t>
            </w:r>
          </w:p>
        </w:tc>
        <w:tc>
          <w:tcPr>
            <w:tcW w:w="47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2AF3EC" w14:textId="77777777" w:rsidR="00871966" w:rsidRPr="00463F80" w:rsidRDefault="00871966" w:rsidP="00463F80">
            <w:pPr>
              <w:ind w:firstLineChars="20" w:firstLine="48"/>
              <w:jc w:val="center"/>
              <w:rPr>
                <w:rFonts w:ascii="仿宋" w:eastAsia="仿宋" w:hAnsi="仿宋" w:cs="宋体"/>
                <w:kern w:val="0"/>
                <w:sz w:val="24"/>
                <w:szCs w:val="24"/>
              </w:rPr>
            </w:pPr>
            <w:r w:rsidRPr="00463F80">
              <w:rPr>
                <w:rFonts w:ascii="仿宋" w:eastAsia="仿宋" w:hAnsi="仿宋" w:cs="宋体"/>
                <w:kern w:val="0"/>
                <w:sz w:val="24"/>
                <w:szCs w:val="24"/>
              </w:rPr>
              <w:t>96.34%</w:t>
            </w:r>
          </w:p>
        </w:tc>
        <w:tc>
          <w:tcPr>
            <w:tcW w:w="1089" w:type="dxa"/>
            <w:vMerge/>
            <w:tcBorders>
              <w:top w:val="single" w:sz="8" w:space="0" w:color="000000"/>
              <w:left w:val="single" w:sz="8" w:space="0" w:color="000000"/>
              <w:bottom w:val="single" w:sz="8" w:space="0" w:color="000000"/>
              <w:right w:val="single" w:sz="8" w:space="0" w:color="000000"/>
            </w:tcBorders>
            <w:shd w:val="clear" w:color="auto" w:fill="auto"/>
          </w:tcPr>
          <w:p w14:paraId="50DCB126" w14:textId="77777777" w:rsidR="00871966" w:rsidRPr="00463F80" w:rsidRDefault="00871966" w:rsidP="00350976">
            <w:pPr>
              <w:spacing w:line="312" w:lineRule="auto"/>
              <w:ind w:firstLine="480"/>
              <w:jc w:val="left"/>
              <w:rPr>
                <w:rFonts w:ascii="仿宋" w:eastAsia="仿宋" w:hAnsi="仿宋"/>
                <w:sz w:val="24"/>
                <w:szCs w:val="24"/>
              </w:rPr>
            </w:pPr>
          </w:p>
        </w:tc>
      </w:tr>
    </w:tbl>
    <w:p w14:paraId="0108F030" w14:textId="45B9175A" w:rsidR="0048780F" w:rsidRPr="00463F80" w:rsidRDefault="00A23C6B" w:rsidP="00B27EBE">
      <w:pPr>
        <w:pStyle w:val="3"/>
        <w:ind w:firstLine="643"/>
      </w:pPr>
      <w:r w:rsidRPr="00463F80">
        <w:rPr>
          <w:rFonts w:hint="eastAsia"/>
        </w:rPr>
        <w:t>（</w:t>
      </w:r>
      <w:r w:rsidR="009C6C85" w:rsidRPr="00463F80">
        <w:rPr>
          <w:rFonts w:hint="eastAsia"/>
        </w:rPr>
        <w:t>三</w:t>
      </w:r>
      <w:r w:rsidRPr="00463F80">
        <w:rPr>
          <w:rFonts w:hint="eastAsia"/>
        </w:rPr>
        <w:t>）</w:t>
      </w:r>
      <w:r w:rsidR="0043517D" w:rsidRPr="00463F80">
        <w:t>重点工作完成情况</w:t>
      </w:r>
      <w:bookmarkEnd w:id="24"/>
    </w:p>
    <w:p w14:paraId="4EF3131D" w14:textId="2AFE754D" w:rsidR="0048780F" w:rsidRPr="00463F80" w:rsidRDefault="0043517D" w:rsidP="009F65D9">
      <w:pPr>
        <w:snapToGrid w:val="0"/>
        <w:spacing w:line="560" w:lineRule="exact"/>
        <w:ind w:firstLine="420"/>
        <w:rPr>
          <w:rFonts w:ascii="仿宋_GB2312" w:eastAsia="仿宋_GB2312" w:hAnsi="宋体"/>
          <w:sz w:val="32"/>
          <w:szCs w:val="32"/>
        </w:rPr>
      </w:pPr>
      <w:r w:rsidRPr="00463F80">
        <w:tab/>
      </w:r>
      <w:r w:rsidRPr="00463F80">
        <w:rPr>
          <w:rFonts w:ascii="仿宋_GB2312" w:eastAsia="仿宋_GB2312" w:hAnsi="宋体"/>
          <w:sz w:val="32"/>
          <w:szCs w:val="32"/>
        </w:rPr>
        <w:t>2019年，学校以习近平新时代中国特色社会主义思想为指导，全面贯彻党的十九大和十九届二中、三中、四中全会精神，深入学习贯彻全国教育大会精神，围绕立德树人根本任务，坚持高质量发展，党建工作和学校中心工作共同推进，团结带领广大师生，锐意进取、真抓实干、攻坚克难，用改革助发展，以发展聚人心，不断融汇正能量，学校教育事业呈现蓬勃发展的良好态势。</w:t>
      </w:r>
    </w:p>
    <w:p w14:paraId="5E3129C8" w14:textId="4F6DD47B" w:rsidR="0048780F" w:rsidRPr="00463F80" w:rsidRDefault="00E46C9E" w:rsidP="0066256F">
      <w:pPr>
        <w:spacing w:line="480" w:lineRule="auto"/>
        <w:ind w:firstLine="643"/>
        <w:rPr>
          <w:rFonts w:ascii="仿宋_GB2312" w:eastAsia="仿宋_GB2312" w:hAnsi="仿宋_GB2312"/>
          <w:b/>
          <w:bCs/>
          <w:sz w:val="32"/>
          <w:szCs w:val="32"/>
        </w:rPr>
      </w:pPr>
      <w:r w:rsidRPr="00463F80">
        <w:rPr>
          <w:rFonts w:ascii="仿宋_GB2312" w:eastAsia="仿宋_GB2312" w:hAnsi="仿宋_GB2312" w:hint="eastAsia"/>
          <w:b/>
          <w:bCs/>
          <w:sz w:val="32"/>
          <w:szCs w:val="32"/>
        </w:rPr>
        <w:t>1.</w:t>
      </w:r>
      <w:r w:rsidR="00F44BEE" w:rsidRPr="00463F80">
        <w:rPr>
          <w:rFonts w:ascii="仿宋_GB2312" w:eastAsia="仿宋_GB2312" w:hAnsi="仿宋_GB2312" w:hint="eastAsia"/>
          <w:b/>
          <w:bCs/>
          <w:sz w:val="32"/>
          <w:szCs w:val="32"/>
        </w:rPr>
        <w:t>加强政治理论学习，党的领导和党的建设进一步加强</w:t>
      </w:r>
    </w:p>
    <w:p w14:paraId="1F1CD8B1"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一是以高度自觉抓理论武装，新理论新思想入脑入心见行动。抓牢党委班子政治学习，确保政治忠诚，开展党委会</w:t>
      </w:r>
      <w:r w:rsidRPr="00463F80">
        <w:rPr>
          <w:rFonts w:ascii="仿宋_GB2312" w:eastAsia="仿宋_GB2312" w:hAnsi="宋体"/>
          <w:sz w:val="32"/>
          <w:szCs w:val="32"/>
        </w:rPr>
        <w:t>“</w:t>
      </w:r>
      <w:r w:rsidRPr="00463F80">
        <w:rPr>
          <w:rFonts w:ascii="仿宋_GB2312" w:eastAsia="仿宋_GB2312" w:hAnsi="宋体"/>
          <w:sz w:val="32"/>
          <w:szCs w:val="32"/>
        </w:rPr>
        <w:t>第一议题</w:t>
      </w:r>
      <w:r w:rsidRPr="00463F80">
        <w:rPr>
          <w:rFonts w:ascii="仿宋_GB2312" w:eastAsia="仿宋_GB2312" w:hAnsi="宋体"/>
          <w:sz w:val="32"/>
          <w:szCs w:val="32"/>
        </w:rPr>
        <w:t>”</w:t>
      </w:r>
      <w:r w:rsidRPr="00463F80">
        <w:rPr>
          <w:rFonts w:ascii="仿宋_GB2312" w:eastAsia="仿宋_GB2312" w:hAnsi="宋体"/>
          <w:sz w:val="32"/>
          <w:szCs w:val="32"/>
        </w:rPr>
        <w:t xml:space="preserve">学习22次，党委理论学习中心组学习12次。抓实党员干部党性教育，锤炼初心使命，在全校党员范围内开展理论学习441场。抓细广大师生理论武装，坚定理想信念，面向3660人次学生开展30次思政 </w:t>
      </w:r>
      <w:r w:rsidRPr="00463F80">
        <w:rPr>
          <w:rFonts w:ascii="仿宋_GB2312" w:eastAsia="仿宋_GB2312" w:hAnsi="宋体"/>
          <w:sz w:val="32"/>
          <w:szCs w:val="32"/>
        </w:rPr>
        <w:t>“</w:t>
      </w:r>
      <w:r w:rsidRPr="00463F80">
        <w:rPr>
          <w:rFonts w:ascii="仿宋_GB2312" w:eastAsia="仿宋_GB2312" w:hAnsi="宋体"/>
          <w:sz w:val="32"/>
          <w:szCs w:val="32"/>
        </w:rPr>
        <w:t>第一课</w:t>
      </w:r>
      <w:r w:rsidRPr="00463F80">
        <w:rPr>
          <w:rFonts w:ascii="仿宋_GB2312" w:eastAsia="仿宋_GB2312" w:hAnsi="宋体"/>
          <w:sz w:val="32"/>
          <w:szCs w:val="32"/>
        </w:rPr>
        <w:t>”</w:t>
      </w:r>
      <w:r w:rsidRPr="00463F80">
        <w:rPr>
          <w:rFonts w:ascii="仿宋_GB2312" w:eastAsia="仿宋_GB2312" w:hAnsi="宋体"/>
          <w:sz w:val="32"/>
          <w:szCs w:val="32"/>
        </w:rPr>
        <w:t>；开展专题学习401场次、党章学习小组学习856次、主题班会和团日活动1223次；创新开展全媒体宣传，发布超过1000篇网络红文。</w:t>
      </w:r>
    </w:p>
    <w:p w14:paraId="30B1BB85"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二是高标准高质量开展</w:t>
      </w:r>
      <w:r w:rsidRPr="00463F80">
        <w:rPr>
          <w:rFonts w:ascii="仿宋_GB2312" w:eastAsia="仿宋_GB2312" w:hAnsi="宋体"/>
          <w:sz w:val="32"/>
          <w:szCs w:val="32"/>
        </w:rPr>
        <w:t>“</w:t>
      </w:r>
      <w:r w:rsidRPr="00463F80">
        <w:rPr>
          <w:rFonts w:ascii="仿宋_GB2312" w:eastAsia="仿宋_GB2312" w:hAnsi="宋体"/>
          <w:sz w:val="32"/>
          <w:szCs w:val="32"/>
        </w:rPr>
        <w:t>不忘初心、牢记使命</w:t>
      </w:r>
      <w:r w:rsidRPr="00463F80">
        <w:rPr>
          <w:rFonts w:ascii="仿宋_GB2312" w:eastAsia="仿宋_GB2312" w:hAnsi="宋体"/>
          <w:sz w:val="32"/>
          <w:szCs w:val="32"/>
        </w:rPr>
        <w:t>”</w:t>
      </w:r>
      <w:r w:rsidRPr="00463F80">
        <w:rPr>
          <w:rFonts w:ascii="仿宋_GB2312" w:eastAsia="仿宋_GB2312" w:hAnsi="宋体"/>
          <w:sz w:val="32"/>
          <w:szCs w:val="32"/>
        </w:rPr>
        <w:t>主题教育，为学校事业发展凝聚强大力量。带头统：组织召开11次推进会，落实</w:t>
      </w:r>
      <w:r w:rsidRPr="00463F80">
        <w:rPr>
          <w:rFonts w:ascii="仿宋_GB2312" w:eastAsia="仿宋_GB2312" w:hAnsi="宋体"/>
          <w:sz w:val="32"/>
          <w:szCs w:val="32"/>
        </w:rPr>
        <w:t>“</w:t>
      </w:r>
      <w:r w:rsidRPr="00463F80">
        <w:rPr>
          <w:rFonts w:ascii="仿宋_GB2312" w:eastAsia="仿宋_GB2312" w:hAnsi="宋体"/>
          <w:sz w:val="32"/>
          <w:szCs w:val="32"/>
        </w:rPr>
        <w:t>1+5</w:t>
      </w:r>
      <w:r w:rsidRPr="00463F80">
        <w:rPr>
          <w:rFonts w:ascii="仿宋_GB2312" w:eastAsia="仿宋_GB2312" w:hAnsi="宋体"/>
          <w:sz w:val="32"/>
          <w:szCs w:val="32"/>
        </w:rPr>
        <w:t>”</w:t>
      </w:r>
      <w:r w:rsidRPr="00463F80">
        <w:rPr>
          <w:rFonts w:ascii="仿宋_GB2312" w:eastAsia="仿宋_GB2312" w:hAnsi="宋体"/>
          <w:sz w:val="32"/>
          <w:szCs w:val="32"/>
        </w:rPr>
        <w:t>工作方案；带头查：调查研究31场、找差距会议49场，梳理问题89条；带头改：建立</w:t>
      </w:r>
      <w:r w:rsidRPr="00463F80">
        <w:rPr>
          <w:rFonts w:ascii="仿宋_GB2312" w:eastAsia="仿宋_GB2312" w:hAnsi="宋体"/>
          <w:sz w:val="32"/>
          <w:szCs w:val="32"/>
        </w:rPr>
        <w:t>“</w:t>
      </w:r>
      <w:r w:rsidRPr="00463F80">
        <w:rPr>
          <w:rFonts w:ascii="仿宋_GB2312" w:eastAsia="仿宋_GB2312" w:hAnsi="宋体"/>
          <w:sz w:val="32"/>
          <w:szCs w:val="32"/>
        </w:rPr>
        <w:t>一台账两清单</w:t>
      </w:r>
      <w:r w:rsidRPr="00463F80">
        <w:rPr>
          <w:rFonts w:ascii="仿宋_GB2312" w:eastAsia="仿宋_GB2312" w:hAnsi="宋体"/>
          <w:sz w:val="32"/>
          <w:szCs w:val="32"/>
        </w:rPr>
        <w:t>”</w:t>
      </w:r>
      <w:r w:rsidRPr="00463F80">
        <w:rPr>
          <w:rFonts w:ascii="仿宋_GB2312" w:eastAsia="仿宋_GB2312" w:hAnsi="宋体"/>
          <w:sz w:val="32"/>
          <w:szCs w:val="32"/>
        </w:rPr>
        <w:t>，制定整改措施175项，立行立改 140项，制定完善10余项制度。主题教育成效显著，获指导组好评。</w:t>
      </w:r>
    </w:p>
    <w:p w14:paraId="2D73A027"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 xml:space="preserve">三是扎实推进三年行动计划落地见效，党建工作再上新台阶。培育党建工作创新案例，获省二、三等奖各1项。以教学系为单位设置教师党支部，配齐配强支委。 </w:t>
      </w:r>
      <w:r w:rsidRPr="00463F80">
        <w:rPr>
          <w:rFonts w:ascii="仿宋_GB2312" w:eastAsia="仿宋_GB2312" w:hAnsi="宋体"/>
          <w:sz w:val="32"/>
          <w:szCs w:val="32"/>
        </w:rPr>
        <w:t>“</w:t>
      </w:r>
      <w:r w:rsidRPr="00463F80">
        <w:rPr>
          <w:rFonts w:ascii="仿宋_GB2312" w:eastAsia="仿宋_GB2312" w:hAnsi="宋体"/>
          <w:sz w:val="32"/>
          <w:szCs w:val="32"/>
        </w:rPr>
        <w:t>头雁效应</w:t>
      </w:r>
      <w:r w:rsidRPr="00463F80">
        <w:rPr>
          <w:rFonts w:ascii="仿宋_GB2312" w:eastAsia="仿宋_GB2312" w:hAnsi="宋体"/>
          <w:sz w:val="32"/>
          <w:szCs w:val="32"/>
        </w:rPr>
        <w:t>”</w:t>
      </w:r>
      <w:r w:rsidRPr="00463F80">
        <w:rPr>
          <w:rFonts w:ascii="仿宋_GB2312" w:eastAsia="仿宋_GB2312" w:hAnsi="宋体"/>
          <w:sz w:val="32"/>
          <w:szCs w:val="32"/>
        </w:rPr>
        <w:t>，</w:t>
      </w:r>
      <w:r w:rsidRPr="00463F80">
        <w:rPr>
          <w:rFonts w:ascii="仿宋_GB2312" w:eastAsia="仿宋_GB2312" w:hAnsi="宋体"/>
          <w:sz w:val="32"/>
          <w:szCs w:val="32"/>
        </w:rPr>
        <w:t>“</w:t>
      </w:r>
      <w:r w:rsidRPr="00463F80">
        <w:rPr>
          <w:rFonts w:ascii="仿宋_GB2312" w:eastAsia="仿宋_GB2312" w:hAnsi="宋体"/>
          <w:sz w:val="32"/>
          <w:szCs w:val="32"/>
        </w:rPr>
        <w:t>双带头人</w:t>
      </w:r>
      <w:r w:rsidRPr="00463F80">
        <w:rPr>
          <w:rFonts w:ascii="仿宋_GB2312" w:eastAsia="仿宋_GB2312" w:hAnsi="宋体"/>
          <w:sz w:val="32"/>
          <w:szCs w:val="32"/>
        </w:rPr>
        <w:t>”</w:t>
      </w:r>
      <w:r w:rsidRPr="00463F80">
        <w:rPr>
          <w:rFonts w:ascii="仿宋_GB2312" w:eastAsia="仿宋_GB2312" w:hAnsi="宋体"/>
          <w:sz w:val="32"/>
          <w:szCs w:val="32"/>
        </w:rPr>
        <w:t>全覆盖。培育校级标杆院系2个、样板支部2个，顺利通过省级样板和标杆建设中期考核，入选全国样板支部1个。建设与学校三级考评体系高度融合的智慧党建系统。发展党员394 名，转正287名。培训党务骨干76人次，分别在延安、兰考和浙大培训党员干部118人。持续推进</w:t>
      </w:r>
      <w:r w:rsidRPr="00463F80">
        <w:rPr>
          <w:rFonts w:ascii="仿宋_GB2312" w:eastAsia="仿宋_GB2312" w:hAnsi="宋体"/>
          <w:sz w:val="32"/>
          <w:szCs w:val="32"/>
        </w:rPr>
        <w:t>“</w:t>
      </w:r>
      <w:r w:rsidRPr="00463F80">
        <w:rPr>
          <w:rFonts w:ascii="仿宋_GB2312" w:eastAsia="仿宋_GB2312" w:hAnsi="宋体"/>
          <w:sz w:val="32"/>
          <w:szCs w:val="32"/>
        </w:rPr>
        <w:t>一总支一品牌</w:t>
      </w:r>
      <w:r w:rsidRPr="00463F80">
        <w:rPr>
          <w:rFonts w:ascii="仿宋_GB2312" w:eastAsia="仿宋_GB2312" w:hAnsi="宋体"/>
          <w:sz w:val="32"/>
          <w:szCs w:val="32"/>
        </w:rPr>
        <w:t>”</w:t>
      </w:r>
      <w:r w:rsidRPr="00463F80">
        <w:rPr>
          <w:rFonts w:ascii="仿宋_GB2312" w:eastAsia="仿宋_GB2312" w:hAnsi="宋体"/>
          <w:sz w:val="32"/>
          <w:szCs w:val="32"/>
        </w:rPr>
        <w:t>建设，形成</w:t>
      </w:r>
      <w:r w:rsidRPr="00463F80">
        <w:rPr>
          <w:rFonts w:ascii="仿宋_GB2312" w:eastAsia="仿宋_GB2312" w:hAnsi="宋体"/>
          <w:sz w:val="32"/>
          <w:szCs w:val="32"/>
        </w:rPr>
        <w:t>“</w:t>
      </w:r>
      <w:r w:rsidRPr="00463F80">
        <w:rPr>
          <w:rFonts w:ascii="仿宋_GB2312" w:eastAsia="仿宋_GB2312" w:hAnsi="宋体"/>
          <w:sz w:val="32"/>
          <w:szCs w:val="32"/>
        </w:rPr>
        <w:t>党建引领电商扶贫</w:t>
      </w:r>
      <w:r w:rsidRPr="00463F80">
        <w:rPr>
          <w:rFonts w:ascii="仿宋_GB2312" w:eastAsia="仿宋_GB2312" w:hAnsi="宋体"/>
          <w:sz w:val="32"/>
          <w:szCs w:val="32"/>
        </w:rPr>
        <w:t>”</w:t>
      </w:r>
      <w:r w:rsidRPr="00463F80">
        <w:rPr>
          <w:rFonts w:ascii="仿宋_GB2312" w:eastAsia="仿宋_GB2312" w:hAnsi="宋体"/>
          <w:sz w:val="32"/>
          <w:szCs w:val="32"/>
        </w:rPr>
        <w:t>等一批可复制可推广的党建品牌，并得到《人民日报》、《半月谈》等主流媒体认可。</w:t>
      </w:r>
    </w:p>
    <w:p w14:paraId="47D3D2E8"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四是持之以恒正风反腐，纪律作风建设稳步推进。严格落实中央八项规定精神，驰而不息纠治</w:t>
      </w:r>
      <w:r w:rsidRPr="00463F80">
        <w:rPr>
          <w:rFonts w:ascii="仿宋_GB2312" w:eastAsia="仿宋_GB2312" w:hAnsi="宋体"/>
          <w:sz w:val="32"/>
          <w:szCs w:val="32"/>
        </w:rPr>
        <w:t>“</w:t>
      </w:r>
      <w:r w:rsidRPr="00463F80">
        <w:rPr>
          <w:rFonts w:ascii="仿宋_GB2312" w:eastAsia="仿宋_GB2312" w:hAnsi="宋体"/>
          <w:sz w:val="32"/>
          <w:szCs w:val="32"/>
        </w:rPr>
        <w:t>四风</w:t>
      </w:r>
      <w:r w:rsidRPr="00463F80">
        <w:rPr>
          <w:rFonts w:ascii="仿宋_GB2312" w:eastAsia="仿宋_GB2312" w:hAnsi="宋体"/>
          <w:sz w:val="32"/>
          <w:szCs w:val="32"/>
        </w:rPr>
        <w:t>”</w:t>
      </w:r>
      <w:r w:rsidRPr="00463F80">
        <w:rPr>
          <w:rFonts w:ascii="仿宋_GB2312" w:eastAsia="仿宋_GB2312" w:hAnsi="宋体"/>
          <w:sz w:val="32"/>
          <w:szCs w:val="32"/>
        </w:rPr>
        <w:t>。主题教育期间制定专项整治方案，细化了15个整治重点，制定30项具体措施，形成整治合力。精简会议发文总量，2019年会议、文件均比2018年减少30%以上。压实党风廉政建设责任，筑牢廉政风险防控基础。对83名中层干部实行量化考核；制定《二级党组织纪检委员工作办法》。强化监督执纪问责，打造风清气正校园氛围。纪委通过党委会、校长办公会等途径监督领导班子加强学习，贯彻上级要求，落实立德树人根本任务。运用</w:t>
      </w:r>
      <w:r w:rsidRPr="00463F80">
        <w:rPr>
          <w:rFonts w:ascii="仿宋_GB2312" w:eastAsia="仿宋_GB2312" w:hAnsi="宋体"/>
          <w:sz w:val="32"/>
          <w:szCs w:val="32"/>
        </w:rPr>
        <w:t>“</w:t>
      </w:r>
      <w:r w:rsidRPr="00463F80">
        <w:rPr>
          <w:rFonts w:ascii="仿宋_GB2312" w:eastAsia="仿宋_GB2312" w:hAnsi="宋体"/>
          <w:sz w:val="32"/>
          <w:szCs w:val="32"/>
        </w:rPr>
        <w:t>第一种形态</w:t>
      </w:r>
      <w:r w:rsidRPr="00463F80">
        <w:rPr>
          <w:rFonts w:ascii="仿宋_GB2312" w:eastAsia="仿宋_GB2312" w:hAnsi="宋体"/>
          <w:sz w:val="32"/>
          <w:szCs w:val="32"/>
        </w:rPr>
        <w:t>”</w:t>
      </w:r>
      <w:r w:rsidRPr="00463F80">
        <w:rPr>
          <w:rFonts w:ascii="仿宋_GB2312" w:eastAsia="仿宋_GB2312" w:hAnsi="宋体"/>
          <w:sz w:val="32"/>
          <w:szCs w:val="32"/>
        </w:rPr>
        <w:t>累计谈话提醒226人次，函询3次，发出监察建议书1件。</w:t>
      </w:r>
    </w:p>
    <w:p w14:paraId="244EE6D9"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五是做好群团组织工作，充分发挥桥梁纽带作用。工会获评</w:t>
      </w:r>
      <w:r w:rsidRPr="00463F80">
        <w:rPr>
          <w:rFonts w:ascii="仿宋_GB2312" w:eastAsia="仿宋_GB2312" w:hAnsi="宋体"/>
          <w:sz w:val="32"/>
          <w:szCs w:val="32"/>
        </w:rPr>
        <w:t>“</w:t>
      </w:r>
      <w:r w:rsidRPr="00463F80">
        <w:rPr>
          <w:rFonts w:ascii="仿宋_GB2312" w:eastAsia="仿宋_GB2312" w:hAnsi="宋体"/>
          <w:sz w:val="32"/>
          <w:szCs w:val="32"/>
        </w:rPr>
        <w:t>广东省模范职工之家</w:t>
      </w:r>
      <w:r w:rsidRPr="00463F80">
        <w:rPr>
          <w:rFonts w:ascii="仿宋_GB2312" w:eastAsia="仿宋_GB2312" w:hAnsi="宋体"/>
          <w:sz w:val="32"/>
          <w:szCs w:val="32"/>
        </w:rPr>
        <w:t>”</w:t>
      </w:r>
      <w:r w:rsidRPr="00463F80">
        <w:rPr>
          <w:rFonts w:ascii="仿宋_GB2312" w:eastAsia="仿宋_GB2312" w:hAnsi="宋体"/>
          <w:sz w:val="32"/>
          <w:szCs w:val="32"/>
        </w:rPr>
        <w:t>；指导学校共青团工作，落实《共青团改革实施方案》，强化学生社团管理；充分发挥老干部作用，为学校发展建言献策，引领青年学子健康成长。</w:t>
      </w:r>
    </w:p>
    <w:p w14:paraId="01FAE123"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六是落实意识形态工作领导权，维护校园安全稳定。全面贯彻学校意识形态安全工作体系，层层压实责任，全年未出现意识形态和政治安全问题，校园安全稳定。加强阵地建设，官微全国百强、全省第四，易班全省第十。</w:t>
      </w:r>
    </w:p>
    <w:p w14:paraId="109BA813" w14:textId="455F1B2B" w:rsidR="0048780F" w:rsidRPr="00463F80" w:rsidRDefault="00E46C9E"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2.</w:t>
      </w:r>
      <w:r w:rsidR="0043517D" w:rsidRPr="00463F80">
        <w:rPr>
          <w:rFonts w:ascii="仿宋_GB2312" w:eastAsia="仿宋_GB2312" w:hAnsi="仿宋_GB2312"/>
          <w:b/>
          <w:bCs/>
          <w:sz w:val="32"/>
          <w:szCs w:val="32"/>
        </w:rPr>
        <w:t>综合施策、重点发力，学校办学综合实力取得新突破</w:t>
      </w:r>
    </w:p>
    <w:p w14:paraId="3E8BA8C3"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推进</w:t>
      </w:r>
      <w:r w:rsidRPr="00463F80">
        <w:rPr>
          <w:rFonts w:ascii="仿宋_GB2312" w:eastAsia="仿宋_GB2312" w:hAnsi="宋体"/>
          <w:sz w:val="32"/>
          <w:szCs w:val="32"/>
        </w:rPr>
        <w:t>“</w:t>
      </w:r>
      <w:r w:rsidRPr="00463F80">
        <w:rPr>
          <w:rFonts w:ascii="仿宋_GB2312" w:eastAsia="仿宋_GB2312" w:hAnsi="宋体"/>
          <w:sz w:val="32"/>
          <w:szCs w:val="32"/>
        </w:rPr>
        <w:t>创新强校工程</w:t>
      </w:r>
      <w:r w:rsidRPr="00463F80">
        <w:rPr>
          <w:rFonts w:ascii="仿宋_GB2312" w:eastAsia="仿宋_GB2312" w:hAnsi="宋体"/>
          <w:sz w:val="32"/>
          <w:szCs w:val="32"/>
        </w:rPr>
        <w:t>”</w:t>
      </w:r>
      <w:r w:rsidRPr="00463F80">
        <w:rPr>
          <w:rFonts w:ascii="仿宋_GB2312" w:eastAsia="仿宋_GB2312" w:hAnsi="宋体"/>
          <w:sz w:val="32"/>
          <w:szCs w:val="32"/>
        </w:rPr>
        <w:t>和一流院校建设，对项目入库建设、方案实施和项目验收等制定配套的管理办法。设置专门账户进行单独管理，实行项目负责人负责制，每月至少召开一次项目推进工作例会制度，每月编制《</w:t>
      </w:r>
      <w:r w:rsidRPr="00463F80">
        <w:rPr>
          <w:rFonts w:ascii="仿宋_GB2312" w:eastAsia="仿宋_GB2312" w:hAnsi="宋体"/>
          <w:sz w:val="32"/>
          <w:szCs w:val="32"/>
        </w:rPr>
        <w:t>“</w:t>
      </w:r>
      <w:r w:rsidRPr="00463F80">
        <w:rPr>
          <w:rFonts w:ascii="仿宋_GB2312" w:eastAsia="仿宋_GB2312" w:hAnsi="宋体"/>
          <w:sz w:val="32"/>
          <w:szCs w:val="32"/>
        </w:rPr>
        <w:t>创新强校工程</w:t>
      </w:r>
      <w:r w:rsidRPr="00463F80">
        <w:rPr>
          <w:rFonts w:ascii="仿宋_GB2312" w:eastAsia="仿宋_GB2312" w:hAnsi="宋体"/>
          <w:sz w:val="32"/>
          <w:szCs w:val="32"/>
        </w:rPr>
        <w:t>”</w:t>
      </w:r>
      <w:r w:rsidRPr="00463F80">
        <w:rPr>
          <w:rFonts w:ascii="仿宋_GB2312" w:eastAsia="仿宋_GB2312" w:hAnsi="宋体"/>
          <w:sz w:val="32"/>
          <w:szCs w:val="32"/>
        </w:rPr>
        <w:t>简报》，通报预算执行进度、项目建设进展和标志性成果完成情况，推动重点项目建设。建立重大项目监控机制，重点监控10万元以上重大项目建设进展。新增标志性成果370项，其中国家级142项，省级228项，获省级以上学生素质成果202项。在2019年度</w:t>
      </w:r>
      <w:r w:rsidRPr="00463F80">
        <w:rPr>
          <w:rFonts w:ascii="仿宋_GB2312" w:eastAsia="仿宋_GB2312" w:hAnsi="宋体"/>
          <w:sz w:val="32"/>
          <w:szCs w:val="32"/>
        </w:rPr>
        <w:t>“</w:t>
      </w:r>
      <w:r w:rsidRPr="00463F80">
        <w:rPr>
          <w:rFonts w:ascii="仿宋_GB2312" w:eastAsia="仿宋_GB2312" w:hAnsi="宋体"/>
          <w:sz w:val="32"/>
          <w:szCs w:val="32"/>
        </w:rPr>
        <w:t>创新强校工程</w:t>
      </w:r>
      <w:r w:rsidRPr="00463F80">
        <w:rPr>
          <w:rFonts w:ascii="仿宋_GB2312" w:eastAsia="仿宋_GB2312" w:hAnsi="宋体"/>
          <w:sz w:val="32"/>
          <w:szCs w:val="32"/>
        </w:rPr>
        <w:t>”</w:t>
      </w:r>
      <w:r w:rsidRPr="00463F80">
        <w:rPr>
          <w:rFonts w:ascii="仿宋_GB2312" w:eastAsia="仿宋_GB2312" w:hAnsi="宋体"/>
          <w:sz w:val="32"/>
          <w:szCs w:val="32"/>
        </w:rPr>
        <w:t>考核全省排名第8。组织力量开展</w:t>
      </w:r>
      <w:r w:rsidRPr="00463F80">
        <w:rPr>
          <w:rFonts w:ascii="仿宋_GB2312" w:eastAsia="仿宋_GB2312" w:hAnsi="宋体"/>
          <w:sz w:val="32"/>
          <w:szCs w:val="32"/>
        </w:rPr>
        <w:t>“</w:t>
      </w:r>
      <w:r w:rsidRPr="00463F80">
        <w:rPr>
          <w:rFonts w:ascii="仿宋_GB2312" w:eastAsia="仿宋_GB2312" w:hAnsi="宋体"/>
          <w:sz w:val="32"/>
          <w:szCs w:val="32"/>
        </w:rPr>
        <w:t>中国特色高水平高职学校和专业建设计划</w:t>
      </w:r>
      <w:r w:rsidRPr="00463F80">
        <w:rPr>
          <w:rFonts w:ascii="仿宋_GB2312" w:eastAsia="仿宋_GB2312" w:hAnsi="宋体"/>
          <w:sz w:val="32"/>
          <w:szCs w:val="32"/>
        </w:rPr>
        <w:t>”</w:t>
      </w:r>
      <w:r w:rsidRPr="00463F80">
        <w:rPr>
          <w:rFonts w:ascii="仿宋_GB2312" w:eastAsia="仿宋_GB2312" w:hAnsi="宋体"/>
          <w:sz w:val="32"/>
          <w:szCs w:val="32"/>
        </w:rPr>
        <w:t>申报，学校成功跻身中国特色高水平高职学校和专业建设计划建设单位行列。学校被中央电化教育馆正式授予</w:t>
      </w:r>
      <w:r w:rsidRPr="00463F80">
        <w:rPr>
          <w:rFonts w:ascii="仿宋_GB2312" w:eastAsia="仿宋_GB2312" w:hAnsi="宋体"/>
          <w:sz w:val="32"/>
          <w:szCs w:val="32"/>
        </w:rPr>
        <w:t>“</w:t>
      </w:r>
      <w:r w:rsidRPr="00463F80">
        <w:rPr>
          <w:rFonts w:ascii="仿宋_GB2312" w:eastAsia="仿宋_GB2312" w:hAnsi="宋体"/>
          <w:sz w:val="32"/>
          <w:szCs w:val="32"/>
        </w:rPr>
        <w:t>全国职业院校数字校园建设实验校</w:t>
      </w:r>
      <w:r w:rsidRPr="00463F80">
        <w:rPr>
          <w:rFonts w:ascii="仿宋_GB2312" w:eastAsia="仿宋_GB2312" w:hAnsi="宋体"/>
          <w:sz w:val="32"/>
          <w:szCs w:val="32"/>
        </w:rPr>
        <w:t>”</w:t>
      </w:r>
      <w:r w:rsidRPr="00463F80">
        <w:rPr>
          <w:rFonts w:ascii="仿宋_GB2312" w:eastAsia="仿宋_GB2312" w:hAnsi="宋体"/>
          <w:sz w:val="32"/>
          <w:szCs w:val="32"/>
        </w:rPr>
        <w:t>称号，被教育厅确定为2019－2020年国家节约型公共机构示范创建单位。入围2019</w:t>
      </w:r>
      <w:r w:rsidRPr="00463F80">
        <w:rPr>
          <w:rFonts w:ascii="仿宋_GB2312" w:eastAsia="仿宋_GB2312" w:hAnsi="宋体"/>
          <w:sz w:val="32"/>
          <w:szCs w:val="32"/>
        </w:rPr>
        <w:t>“</w:t>
      </w:r>
      <w:r w:rsidRPr="00463F80">
        <w:rPr>
          <w:rFonts w:ascii="仿宋_GB2312" w:eastAsia="仿宋_GB2312" w:hAnsi="宋体"/>
          <w:sz w:val="32"/>
          <w:szCs w:val="32"/>
        </w:rPr>
        <w:t>亚太职业院校影响力50强</w:t>
      </w:r>
      <w:r w:rsidRPr="00463F80">
        <w:rPr>
          <w:rFonts w:ascii="仿宋_GB2312" w:eastAsia="仿宋_GB2312" w:hAnsi="宋体"/>
          <w:sz w:val="32"/>
          <w:szCs w:val="32"/>
        </w:rPr>
        <w:t>”</w:t>
      </w:r>
      <w:r w:rsidRPr="00463F80">
        <w:rPr>
          <w:rFonts w:ascii="仿宋_GB2312" w:eastAsia="仿宋_GB2312" w:hAnsi="宋体"/>
          <w:sz w:val="32"/>
          <w:szCs w:val="32"/>
        </w:rPr>
        <w:t>，入选教育部职业教育走出去试点项目高校（13所之一），并筹办中国-赞比亚职业技术学院工贸分院。获得广东省教育厅绩效考核一等奖。</w:t>
      </w:r>
    </w:p>
    <w:p w14:paraId="0ED612BD" w14:textId="2F809804" w:rsidR="0048780F" w:rsidRPr="00463F80" w:rsidRDefault="00E46C9E"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3.</w:t>
      </w:r>
      <w:r w:rsidR="00E60FE8" w:rsidRPr="00463F80">
        <w:rPr>
          <w:rFonts w:ascii="仿宋_GB2312" w:eastAsia="仿宋_GB2312" w:hAnsi="仿宋_GB2312"/>
          <w:b/>
          <w:bCs/>
          <w:sz w:val="32"/>
          <w:szCs w:val="32"/>
        </w:rPr>
        <w:t xml:space="preserve"> </w:t>
      </w:r>
      <w:r w:rsidR="0043517D" w:rsidRPr="00463F80">
        <w:rPr>
          <w:rFonts w:ascii="仿宋_GB2312" w:eastAsia="仿宋_GB2312" w:hAnsi="仿宋_GB2312"/>
          <w:b/>
          <w:bCs/>
          <w:sz w:val="32"/>
          <w:szCs w:val="32"/>
        </w:rPr>
        <w:t>深化改革、精准培育，人才培养彰显新成效</w:t>
      </w:r>
    </w:p>
    <w:p w14:paraId="4599A497"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实施人才培养模式改革创新，推动实施混合式教学模式改革，开展</w:t>
      </w:r>
      <w:r w:rsidRPr="00463F80">
        <w:rPr>
          <w:rFonts w:ascii="仿宋_GB2312" w:eastAsia="仿宋_GB2312" w:hAnsi="宋体"/>
          <w:sz w:val="32"/>
          <w:szCs w:val="32"/>
        </w:rPr>
        <w:t>“</w:t>
      </w:r>
      <w:r w:rsidRPr="00463F80">
        <w:rPr>
          <w:rFonts w:ascii="仿宋_GB2312" w:eastAsia="仿宋_GB2312" w:hAnsi="宋体"/>
          <w:sz w:val="32"/>
          <w:szCs w:val="32"/>
        </w:rPr>
        <w:t>集团办学</w:t>
      </w:r>
      <w:r w:rsidRPr="00463F80">
        <w:rPr>
          <w:rFonts w:ascii="仿宋_GB2312" w:eastAsia="仿宋_GB2312" w:hAnsi="宋体"/>
          <w:sz w:val="32"/>
          <w:szCs w:val="32"/>
        </w:rPr>
        <w:t>”</w:t>
      </w:r>
      <w:r w:rsidRPr="00463F80">
        <w:rPr>
          <w:rFonts w:ascii="仿宋_GB2312" w:eastAsia="仿宋_GB2312" w:hAnsi="宋体"/>
          <w:sz w:val="32"/>
          <w:szCs w:val="32"/>
        </w:rPr>
        <w:t>、中高衔接、高本协同、现代学徒制人才培养模式探索和实践，打通职业教育人才培养立交桥。开展卓越班、订单班、复合班等精准人才培养。成为国家首批</w:t>
      </w:r>
      <w:r w:rsidRPr="00463F80">
        <w:rPr>
          <w:rFonts w:ascii="仿宋_GB2312" w:eastAsia="仿宋_GB2312" w:hAnsi="宋体"/>
          <w:sz w:val="32"/>
          <w:szCs w:val="32"/>
        </w:rPr>
        <w:t>“</w:t>
      </w:r>
      <w:r w:rsidRPr="00463F80">
        <w:rPr>
          <w:rFonts w:ascii="仿宋_GB2312" w:eastAsia="仿宋_GB2312" w:hAnsi="宋体"/>
          <w:sz w:val="32"/>
          <w:szCs w:val="32"/>
        </w:rPr>
        <w:t>1+X证书制度试点</w:t>
      </w:r>
      <w:r w:rsidRPr="00463F80">
        <w:rPr>
          <w:rFonts w:ascii="仿宋_GB2312" w:eastAsia="仿宋_GB2312" w:hAnsi="宋体"/>
          <w:sz w:val="32"/>
          <w:szCs w:val="32"/>
        </w:rPr>
        <w:t>”</w:t>
      </w:r>
      <w:r w:rsidRPr="00463F80">
        <w:rPr>
          <w:rFonts w:ascii="仿宋_GB2312" w:eastAsia="仿宋_GB2312" w:hAnsi="宋体"/>
          <w:sz w:val="32"/>
          <w:szCs w:val="32"/>
        </w:rPr>
        <w:t>院校，获得8个</w:t>
      </w:r>
      <w:r w:rsidRPr="00463F80">
        <w:rPr>
          <w:rFonts w:ascii="仿宋_GB2312" w:eastAsia="仿宋_GB2312" w:hAnsi="宋体"/>
          <w:sz w:val="32"/>
          <w:szCs w:val="32"/>
        </w:rPr>
        <w:t>“</w:t>
      </w:r>
      <w:r w:rsidRPr="00463F80">
        <w:rPr>
          <w:rFonts w:ascii="仿宋_GB2312" w:eastAsia="仿宋_GB2312" w:hAnsi="宋体"/>
          <w:sz w:val="32"/>
          <w:szCs w:val="32"/>
        </w:rPr>
        <w:t>1+X证书制度试点</w:t>
      </w:r>
      <w:r w:rsidRPr="00463F80">
        <w:rPr>
          <w:rFonts w:ascii="仿宋_GB2312" w:eastAsia="仿宋_GB2312" w:hAnsi="宋体"/>
          <w:sz w:val="32"/>
          <w:szCs w:val="32"/>
        </w:rPr>
        <w:t>”</w:t>
      </w:r>
      <w:r w:rsidRPr="00463F80">
        <w:rPr>
          <w:rFonts w:ascii="仿宋_GB2312" w:eastAsia="仿宋_GB2312" w:hAnsi="宋体"/>
          <w:sz w:val="32"/>
          <w:szCs w:val="32"/>
        </w:rPr>
        <w:t>项目。获认定国家级骨干专业4个、国家级生产性实训基地1个、协同创新中心2个、</w:t>
      </w:r>
      <w:r w:rsidRPr="00463F80">
        <w:rPr>
          <w:rFonts w:ascii="仿宋_GB2312" w:eastAsia="仿宋_GB2312" w:hAnsi="宋体"/>
          <w:sz w:val="32"/>
          <w:szCs w:val="32"/>
        </w:rPr>
        <w:t>“</w:t>
      </w:r>
      <w:r w:rsidRPr="00463F80">
        <w:rPr>
          <w:rFonts w:ascii="仿宋_GB2312" w:eastAsia="仿宋_GB2312" w:hAnsi="宋体"/>
          <w:sz w:val="32"/>
          <w:szCs w:val="32"/>
        </w:rPr>
        <w:t>双师型</w:t>
      </w:r>
      <w:r w:rsidRPr="00463F80">
        <w:rPr>
          <w:rFonts w:ascii="仿宋_GB2312" w:eastAsia="仿宋_GB2312" w:hAnsi="宋体"/>
          <w:sz w:val="32"/>
          <w:szCs w:val="32"/>
        </w:rPr>
        <w:t>”</w:t>
      </w:r>
      <w:r w:rsidRPr="00463F80">
        <w:rPr>
          <w:rFonts w:ascii="仿宋_GB2312" w:eastAsia="仿宋_GB2312" w:hAnsi="宋体"/>
          <w:sz w:val="32"/>
          <w:szCs w:val="32"/>
        </w:rPr>
        <w:t>教师培养培训基地2个。学校获省级教学成果奖一等奖2项，二等奖5项。学生全年在各类竞赛中共获国家级奖项55项、省级奖项245项：获职业院校技能大赛国赛奖项5项、省赛奖项39项。获2019年</w:t>
      </w:r>
      <w:r w:rsidRPr="00463F80">
        <w:rPr>
          <w:rFonts w:ascii="仿宋_GB2312" w:eastAsia="仿宋_GB2312" w:hAnsi="宋体"/>
          <w:sz w:val="32"/>
          <w:szCs w:val="32"/>
        </w:rPr>
        <w:t>“</w:t>
      </w:r>
      <w:r w:rsidRPr="00463F80">
        <w:rPr>
          <w:rFonts w:ascii="仿宋_GB2312" w:eastAsia="仿宋_GB2312" w:hAnsi="宋体"/>
          <w:sz w:val="32"/>
          <w:szCs w:val="32"/>
        </w:rPr>
        <w:t>挑战杯</w:t>
      </w:r>
      <w:r w:rsidRPr="00463F80">
        <w:rPr>
          <w:rFonts w:ascii="仿宋_GB2312" w:eastAsia="仿宋_GB2312" w:hAnsi="宋体"/>
          <w:sz w:val="32"/>
          <w:szCs w:val="32"/>
        </w:rPr>
        <w:t>”</w:t>
      </w:r>
      <w:r w:rsidRPr="00463F80">
        <w:rPr>
          <w:rFonts w:ascii="仿宋_GB2312" w:eastAsia="仿宋_GB2312" w:hAnsi="宋体"/>
          <w:sz w:val="32"/>
          <w:szCs w:val="32"/>
        </w:rPr>
        <w:t>省赛特等奖3项、一等奖4项，竞赛成绩排名广东省高职院校并列第一，并获得挑战杯</w:t>
      </w:r>
      <w:r w:rsidRPr="00463F80">
        <w:rPr>
          <w:rFonts w:ascii="仿宋_GB2312" w:eastAsia="仿宋_GB2312" w:hAnsi="宋体"/>
          <w:sz w:val="32"/>
          <w:szCs w:val="32"/>
        </w:rPr>
        <w:t>“</w:t>
      </w:r>
      <w:r w:rsidRPr="00463F80">
        <w:rPr>
          <w:rFonts w:ascii="仿宋_GB2312" w:eastAsia="仿宋_GB2312" w:hAnsi="宋体"/>
          <w:sz w:val="32"/>
          <w:szCs w:val="32"/>
        </w:rPr>
        <w:t>优胜杯</w:t>
      </w:r>
      <w:r w:rsidRPr="00463F80">
        <w:rPr>
          <w:rFonts w:ascii="仿宋_GB2312" w:eastAsia="仿宋_GB2312" w:hAnsi="宋体"/>
          <w:sz w:val="32"/>
          <w:szCs w:val="32"/>
        </w:rPr>
        <w:t>”</w:t>
      </w:r>
      <w:r w:rsidRPr="00463F80">
        <w:rPr>
          <w:rFonts w:ascii="仿宋_GB2312" w:eastAsia="仿宋_GB2312" w:hAnsi="宋体"/>
          <w:sz w:val="32"/>
          <w:szCs w:val="32"/>
        </w:rPr>
        <w:t>。推荐1个项目参加第十六届</w:t>
      </w:r>
      <w:r w:rsidRPr="00463F80">
        <w:rPr>
          <w:rFonts w:ascii="仿宋_GB2312" w:eastAsia="仿宋_GB2312" w:hAnsi="宋体"/>
          <w:sz w:val="32"/>
          <w:szCs w:val="32"/>
        </w:rPr>
        <w:t>“</w:t>
      </w:r>
      <w:r w:rsidRPr="00463F80">
        <w:rPr>
          <w:rFonts w:ascii="仿宋_GB2312" w:eastAsia="仿宋_GB2312" w:hAnsi="宋体"/>
          <w:sz w:val="32"/>
          <w:szCs w:val="32"/>
        </w:rPr>
        <w:t>挑战杯</w:t>
      </w:r>
      <w:r w:rsidRPr="00463F80">
        <w:rPr>
          <w:rFonts w:ascii="仿宋_GB2312" w:eastAsia="仿宋_GB2312" w:hAnsi="宋体"/>
          <w:sz w:val="32"/>
          <w:szCs w:val="32"/>
        </w:rPr>
        <w:t>”</w:t>
      </w:r>
      <w:r w:rsidRPr="00463F80">
        <w:rPr>
          <w:rFonts w:ascii="仿宋_GB2312" w:eastAsia="仿宋_GB2312" w:hAnsi="宋体"/>
          <w:sz w:val="32"/>
          <w:szCs w:val="32"/>
        </w:rPr>
        <w:t>国赛获三等奖，是广东高职院校在国赛获得的最高荣誉。获第五届互联网+大学生创新创业大赛广东省银奖1项、铜奖2项。获第十届大学生运动会金牌4枚、高职高专组团体总分一等奖、道德风尚奖。男女队分获大学生棒垒球比赛专科院校组冠军。获省大学生七人制足球联赛冠军。获省大学生舞龙舞狮锦标赛2枚金牌1枚铜牌，省团体总分第一名。</w:t>
      </w:r>
    </w:p>
    <w:p w14:paraId="324C1D15" w14:textId="299B4CBB" w:rsidR="0048780F" w:rsidRPr="00463F80" w:rsidRDefault="00E46C9E"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4.</w:t>
      </w:r>
      <w:r w:rsidR="0043517D" w:rsidRPr="00463F80">
        <w:rPr>
          <w:rFonts w:ascii="仿宋_GB2312" w:eastAsia="仿宋_GB2312" w:hAnsi="仿宋_GB2312"/>
          <w:b/>
          <w:bCs/>
          <w:sz w:val="32"/>
          <w:szCs w:val="32"/>
        </w:rPr>
        <w:t>引培并举、打造团队，教师科研服务水平迈上新台阶</w:t>
      </w:r>
    </w:p>
    <w:p w14:paraId="2D047B82"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积极推进师资队伍建设，重视教师发展。学校新增省级教学名师1名、专业领军人才1名、省级高层次技能型兼职教师2名。获教育部认定国家级</w:t>
      </w:r>
      <w:r w:rsidRPr="00463F80">
        <w:rPr>
          <w:rFonts w:ascii="仿宋_GB2312" w:eastAsia="仿宋_GB2312" w:hAnsi="宋体"/>
          <w:sz w:val="32"/>
          <w:szCs w:val="32"/>
        </w:rPr>
        <w:t>“</w:t>
      </w:r>
      <w:r w:rsidRPr="00463F80">
        <w:rPr>
          <w:rFonts w:ascii="仿宋_GB2312" w:eastAsia="仿宋_GB2312" w:hAnsi="宋体"/>
          <w:sz w:val="32"/>
          <w:szCs w:val="32"/>
        </w:rPr>
        <w:t>双师型</w:t>
      </w:r>
      <w:r w:rsidRPr="00463F80">
        <w:rPr>
          <w:rFonts w:ascii="仿宋_GB2312" w:eastAsia="仿宋_GB2312" w:hAnsi="宋体"/>
          <w:sz w:val="32"/>
          <w:szCs w:val="32"/>
        </w:rPr>
        <w:t>”</w:t>
      </w:r>
      <w:r w:rsidRPr="00463F80">
        <w:rPr>
          <w:rFonts w:ascii="仿宋_GB2312" w:eastAsia="仿宋_GB2312" w:hAnsi="宋体"/>
          <w:sz w:val="32"/>
          <w:szCs w:val="32"/>
        </w:rPr>
        <w:t>教师培养培训基地2个。获认定2个国家级、1个省级协同创新中心和1个省级协同创新服务团队。立项各类省级以上课题35项，含教育部科技发展中心产学研创新基金项目立项3项，省自然科研基金项目1项，省科技创新战略专项资金1项，市科技计划项目1项，省社会科学规划课题3项，市哲学社会科学发展</w:t>
      </w:r>
      <w:r w:rsidRPr="00463F80">
        <w:rPr>
          <w:rFonts w:ascii="仿宋_GB2312" w:eastAsia="仿宋_GB2312" w:hAnsi="宋体"/>
          <w:sz w:val="32"/>
          <w:szCs w:val="32"/>
        </w:rPr>
        <w:t>“</w:t>
      </w:r>
      <w:r w:rsidRPr="00463F80">
        <w:rPr>
          <w:rFonts w:ascii="仿宋_GB2312" w:eastAsia="仿宋_GB2312" w:hAnsi="宋体"/>
          <w:sz w:val="32"/>
          <w:szCs w:val="32"/>
        </w:rPr>
        <w:t>十三五</w:t>
      </w:r>
      <w:r w:rsidRPr="00463F80">
        <w:rPr>
          <w:rFonts w:ascii="仿宋_GB2312" w:eastAsia="仿宋_GB2312" w:hAnsi="宋体"/>
          <w:sz w:val="32"/>
          <w:szCs w:val="32"/>
        </w:rPr>
        <w:t>”</w:t>
      </w:r>
      <w:r w:rsidRPr="00463F80">
        <w:rPr>
          <w:rFonts w:ascii="仿宋_GB2312" w:eastAsia="仿宋_GB2312" w:hAnsi="宋体"/>
          <w:sz w:val="32"/>
          <w:szCs w:val="32"/>
        </w:rPr>
        <w:t>规划2019年度课题3项，省重点平台及重点科研项目10项，省教育科学规划课题5项，为企业技术服务规模达650万元。1项科技成果入围广东高校高质量科技成果库。完成各类专利申报共48项，成果转化1项共2万元。圆满完成</w:t>
      </w:r>
      <w:r w:rsidRPr="00463F80">
        <w:rPr>
          <w:rFonts w:ascii="仿宋_GB2312" w:eastAsia="仿宋_GB2312" w:hAnsi="宋体"/>
          <w:sz w:val="32"/>
          <w:szCs w:val="32"/>
        </w:rPr>
        <w:t>“</w:t>
      </w:r>
      <w:r w:rsidRPr="00463F80">
        <w:rPr>
          <w:rFonts w:ascii="仿宋_GB2312" w:eastAsia="仿宋_GB2312" w:hAnsi="宋体"/>
          <w:sz w:val="32"/>
          <w:szCs w:val="32"/>
        </w:rPr>
        <w:t>国际合作培训计划</w:t>
      </w:r>
      <w:r w:rsidRPr="00463F80">
        <w:rPr>
          <w:rFonts w:ascii="仿宋_GB2312" w:eastAsia="仿宋_GB2312" w:hAnsi="宋体"/>
          <w:sz w:val="32"/>
          <w:szCs w:val="32"/>
        </w:rPr>
        <w:t>——</w:t>
      </w:r>
      <w:r w:rsidRPr="00463F80">
        <w:rPr>
          <w:rFonts w:ascii="仿宋_GB2312" w:eastAsia="仿宋_GB2312" w:hAnsi="宋体"/>
          <w:sz w:val="32"/>
          <w:szCs w:val="32"/>
        </w:rPr>
        <w:t>中色矿业集团印尼籍员工来华培训</w:t>
      </w:r>
      <w:r w:rsidRPr="00463F80">
        <w:rPr>
          <w:rFonts w:ascii="仿宋_GB2312" w:eastAsia="仿宋_GB2312" w:hAnsi="宋体"/>
          <w:sz w:val="32"/>
          <w:szCs w:val="32"/>
        </w:rPr>
        <w:t>”</w:t>
      </w:r>
      <w:r w:rsidRPr="00463F80">
        <w:rPr>
          <w:rFonts w:ascii="仿宋_GB2312" w:eastAsia="仿宋_GB2312" w:hAnsi="宋体"/>
          <w:sz w:val="32"/>
          <w:szCs w:val="32"/>
        </w:rPr>
        <w:t>项目，满意评价达93.6分。正式加盟职业能力评价认证考试站，新增18个系列共50项计算机职业能力评价认证考试项目。网络远程教育学习中心分别获评兰州大学、中国地质大学（武汉）2018年度</w:t>
      </w:r>
      <w:r w:rsidRPr="00463F80">
        <w:rPr>
          <w:rFonts w:ascii="仿宋_GB2312" w:eastAsia="仿宋_GB2312" w:hAnsi="宋体"/>
          <w:sz w:val="32"/>
          <w:szCs w:val="32"/>
        </w:rPr>
        <w:t>“</w:t>
      </w:r>
      <w:r w:rsidRPr="00463F80">
        <w:rPr>
          <w:rFonts w:ascii="仿宋_GB2312" w:eastAsia="仿宋_GB2312" w:hAnsi="宋体"/>
          <w:sz w:val="32"/>
          <w:szCs w:val="32"/>
        </w:rPr>
        <w:t>优秀学习中心</w:t>
      </w:r>
      <w:r w:rsidRPr="00463F80">
        <w:rPr>
          <w:rFonts w:ascii="仿宋_GB2312" w:eastAsia="仿宋_GB2312" w:hAnsi="宋体"/>
          <w:sz w:val="32"/>
          <w:szCs w:val="32"/>
        </w:rPr>
        <w:t>”</w:t>
      </w:r>
      <w:r w:rsidRPr="00463F80">
        <w:rPr>
          <w:rFonts w:ascii="仿宋_GB2312" w:eastAsia="仿宋_GB2312" w:hAnsi="宋体"/>
          <w:sz w:val="32"/>
          <w:szCs w:val="32"/>
        </w:rPr>
        <w:t>奖项。</w:t>
      </w:r>
    </w:p>
    <w:p w14:paraId="2002EBA4" w14:textId="2DC6EA90" w:rsidR="0048780F" w:rsidRPr="00463F80" w:rsidRDefault="00E46C9E"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5.</w:t>
      </w:r>
      <w:r w:rsidR="0043517D" w:rsidRPr="00463F80">
        <w:rPr>
          <w:rFonts w:ascii="仿宋_GB2312" w:eastAsia="仿宋_GB2312" w:hAnsi="仿宋_GB2312"/>
          <w:b/>
          <w:bCs/>
          <w:sz w:val="32"/>
          <w:szCs w:val="32"/>
        </w:rPr>
        <w:t>放眼全球、开放办学，国际交流与合作呈现新气象</w:t>
      </w:r>
    </w:p>
    <w:p w14:paraId="2B16BC02"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学校入选教育部职业教育走出去试点项目高校，筹办中国-赞比亚职业技术学院工贸分院，在境外开设导游专业并制定专业标准，助力</w:t>
      </w:r>
      <w:r w:rsidRPr="00463F80">
        <w:rPr>
          <w:rFonts w:ascii="仿宋_GB2312" w:eastAsia="仿宋_GB2312" w:hAnsi="宋体"/>
          <w:sz w:val="32"/>
          <w:szCs w:val="32"/>
        </w:rPr>
        <w:t>“</w:t>
      </w:r>
      <w:r w:rsidRPr="00463F80">
        <w:rPr>
          <w:rFonts w:ascii="仿宋_GB2312" w:eastAsia="仿宋_GB2312" w:hAnsi="宋体"/>
          <w:sz w:val="32"/>
          <w:szCs w:val="32"/>
        </w:rPr>
        <w:t>中国教学标准</w:t>
      </w:r>
      <w:r w:rsidRPr="00463F80">
        <w:rPr>
          <w:rFonts w:ascii="仿宋_GB2312" w:eastAsia="仿宋_GB2312" w:hAnsi="宋体"/>
          <w:sz w:val="32"/>
          <w:szCs w:val="32"/>
        </w:rPr>
        <w:t>”</w:t>
      </w:r>
      <w:r w:rsidRPr="00463F80">
        <w:rPr>
          <w:rFonts w:ascii="仿宋_GB2312" w:eastAsia="仿宋_GB2312" w:hAnsi="宋体"/>
          <w:sz w:val="32"/>
          <w:szCs w:val="32"/>
        </w:rPr>
        <w:t>走出去。选派优秀教师赴赞比亚进行央企境外本土员工培训，培训量达1800人日/年。招收来自赞比亚、印尼和吉尔吉斯斯坦3个国家的学历教育留学生。荣获</w:t>
      </w:r>
      <w:r w:rsidRPr="00463F80">
        <w:rPr>
          <w:rFonts w:ascii="仿宋_GB2312" w:eastAsia="仿宋_GB2312" w:hAnsi="宋体"/>
          <w:sz w:val="32"/>
          <w:szCs w:val="32"/>
        </w:rPr>
        <w:t>“</w:t>
      </w:r>
      <w:r w:rsidRPr="00463F80">
        <w:rPr>
          <w:rFonts w:ascii="仿宋_GB2312" w:eastAsia="仿宋_GB2312" w:hAnsi="宋体"/>
          <w:sz w:val="32"/>
          <w:szCs w:val="32"/>
        </w:rPr>
        <w:t>2019亚太职业院校影响力50强</w:t>
      </w:r>
      <w:r w:rsidRPr="00463F80">
        <w:rPr>
          <w:rFonts w:ascii="仿宋_GB2312" w:eastAsia="仿宋_GB2312" w:hAnsi="宋体"/>
          <w:sz w:val="32"/>
          <w:szCs w:val="32"/>
        </w:rPr>
        <w:t>”</w:t>
      </w:r>
      <w:r w:rsidRPr="00463F80">
        <w:rPr>
          <w:rFonts w:ascii="仿宋_GB2312" w:eastAsia="仿宋_GB2312" w:hAnsi="宋体"/>
          <w:sz w:val="32"/>
          <w:szCs w:val="32"/>
        </w:rPr>
        <w:t>、</w:t>
      </w:r>
      <w:r w:rsidRPr="00463F80">
        <w:rPr>
          <w:rFonts w:ascii="仿宋_GB2312" w:eastAsia="仿宋_GB2312" w:hAnsi="宋体"/>
          <w:sz w:val="32"/>
          <w:szCs w:val="32"/>
        </w:rPr>
        <w:t>“</w:t>
      </w:r>
      <w:r w:rsidRPr="00463F80">
        <w:rPr>
          <w:rFonts w:ascii="仿宋_GB2312" w:eastAsia="仿宋_GB2312" w:hAnsi="宋体"/>
          <w:sz w:val="32"/>
          <w:szCs w:val="32"/>
        </w:rPr>
        <w:t>广东省高等院校对外交流与合作先进集体奖</w:t>
      </w:r>
      <w:r w:rsidRPr="00463F80">
        <w:rPr>
          <w:rFonts w:ascii="仿宋_GB2312" w:eastAsia="仿宋_GB2312" w:hAnsi="宋体"/>
          <w:sz w:val="32"/>
          <w:szCs w:val="32"/>
        </w:rPr>
        <w:t>”</w:t>
      </w:r>
      <w:r w:rsidRPr="00463F80">
        <w:rPr>
          <w:rFonts w:ascii="仿宋_GB2312" w:eastAsia="仿宋_GB2312" w:hAnsi="宋体"/>
          <w:sz w:val="32"/>
          <w:szCs w:val="32"/>
        </w:rPr>
        <w:t>和2019中国（西安）世界职业教育大会优秀案例等殊荣。获</w:t>
      </w:r>
      <w:r w:rsidRPr="00463F80">
        <w:rPr>
          <w:rFonts w:ascii="仿宋_GB2312" w:eastAsia="仿宋_GB2312" w:hAnsi="宋体"/>
          <w:sz w:val="32"/>
          <w:szCs w:val="32"/>
        </w:rPr>
        <w:t>“</w:t>
      </w:r>
      <w:r w:rsidRPr="00463F80">
        <w:rPr>
          <w:rFonts w:ascii="仿宋_GB2312" w:eastAsia="仿宋_GB2312" w:hAnsi="宋体"/>
          <w:sz w:val="32"/>
          <w:szCs w:val="32"/>
        </w:rPr>
        <w:t>2019广东省重点高端外国专家引进计划</w:t>
      </w:r>
      <w:r w:rsidRPr="00463F80">
        <w:rPr>
          <w:rFonts w:ascii="仿宋_GB2312" w:eastAsia="仿宋_GB2312" w:hAnsi="宋体"/>
          <w:sz w:val="32"/>
          <w:szCs w:val="32"/>
        </w:rPr>
        <w:t>”</w:t>
      </w:r>
      <w:r w:rsidRPr="00463F80">
        <w:rPr>
          <w:rFonts w:ascii="仿宋_GB2312" w:eastAsia="仿宋_GB2312" w:hAnsi="宋体"/>
          <w:sz w:val="32"/>
          <w:szCs w:val="32"/>
        </w:rPr>
        <w:t>资助项目</w:t>
      </w:r>
      <w:r w:rsidRPr="00463F80">
        <w:rPr>
          <w:rFonts w:ascii="仿宋_GB2312" w:eastAsia="仿宋_GB2312" w:hAnsi="宋体"/>
          <w:sz w:val="32"/>
          <w:szCs w:val="32"/>
        </w:rPr>
        <w:t>——“</w:t>
      </w:r>
      <w:r w:rsidRPr="00463F80">
        <w:rPr>
          <w:rFonts w:ascii="仿宋_GB2312" w:eastAsia="仿宋_GB2312" w:hAnsi="宋体"/>
          <w:sz w:val="32"/>
          <w:szCs w:val="32"/>
        </w:rPr>
        <w:t>中英废弃物再利用绿色工业设计的研究与实践</w:t>
      </w:r>
      <w:r w:rsidRPr="00463F80">
        <w:rPr>
          <w:rFonts w:ascii="仿宋_GB2312" w:eastAsia="仿宋_GB2312" w:hAnsi="宋体"/>
          <w:sz w:val="32"/>
          <w:szCs w:val="32"/>
        </w:rPr>
        <w:t>”</w:t>
      </w:r>
      <w:r w:rsidRPr="00463F80">
        <w:rPr>
          <w:rFonts w:ascii="仿宋_GB2312" w:eastAsia="仿宋_GB2312" w:hAnsi="宋体"/>
          <w:sz w:val="32"/>
          <w:szCs w:val="32"/>
        </w:rPr>
        <w:t>。</w:t>
      </w:r>
    </w:p>
    <w:p w14:paraId="223772DE" w14:textId="338FDF9B" w:rsidR="0048780F" w:rsidRPr="00463F80" w:rsidRDefault="00E46C9E" w:rsidP="009C7A21">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6.</w:t>
      </w:r>
      <w:r w:rsidR="0043517D" w:rsidRPr="00463F80">
        <w:rPr>
          <w:rFonts w:ascii="仿宋_GB2312" w:eastAsia="仿宋_GB2312" w:hAnsi="仿宋_GB2312"/>
          <w:b/>
          <w:bCs/>
          <w:sz w:val="32"/>
          <w:szCs w:val="32"/>
        </w:rPr>
        <w:t>科学规划、强化保障，学校办学条件取得新进展</w:t>
      </w:r>
    </w:p>
    <w:p w14:paraId="443E75D5" w14:textId="419D1392"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白云校区新学生宿舍16#工程完成设计如期开工，并启动建设新图书馆、实训楼、学生活动中心、体育综合楼等建设规划，建筑面积超过100000</w:t>
      </w:r>
      <w:r w:rsidR="0054252C" w:rsidRPr="00463F80">
        <w:rPr>
          <w:rFonts w:ascii="仿宋_GB2312" w:eastAsia="仿宋_GB2312" w:hAnsi="宋体"/>
          <w:sz w:val="32"/>
          <w:szCs w:val="32"/>
        </w:rPr>
        <w:t>m2㎡</w:t>
      </w:r>
      <w:r w:rsidRPr="00463F80">
        <w:rPr>
          <w:rFonts w:ascii="仿宋_GB2312" w:eastAsia="仿宋_GB2312" w:hAnsi="宋体"/>
          <w:sz w:val="32"/>
          <w:szCs w:val="32"/>
        </w:rPr>
        <w:t>。完成扩容招生任务，2019年增加招生超过1000人，同时积极响应高职扩招，第二期高职扩招专项招生1500人。进一步推进与省属中职学校开展集团办学，2019年8月广东省商业职业技术学校挂牌我校荔湾校区，顺利进驻第一批270余名高职学生。学校利用集团办学资金对荔湾进行了宿舍维修、家居改造、校园文化宣传建设，购置了满足高职学生学习需要的图书资源等，双方建立管理工作例会制度，互派人员到学生处、教务处工作，加强多校区管理。大力推进</w:t>
      </w:r>
      <w:r w:rsidRPr="00463F80">
        <w:rPr>
          <w:rFonts w:ascii="仿宋_GB2312" w:eastAsia="仿宋_GB2312" w:hAnsi="宋体"/>
          <w:sz w:val="32"/>
          <w:szCs w:val="32"/>
        </w:rPr>
        <w:t>“</w:t>
      </w:r>
      <w:r w:rsidRPr="00463F80">
        <w:rPr>
          <w:rFonts w:ascii="仿宋_GB2312" w:eastAsia="仿宋_GB2312" w:hAnsi="宋体"/>
          <w:sz w:val="32"/>
          <w:szCs w:val="32"/>
        </w:rPr>
        <w:t>智慧校园</w:t>
      </w:r>
      <w:r w:rsidRPr="00463F80">
        <w:rPr>
          <w:rFonts w:ascii="仿宋_GB2312" w:eastAsia="仿宋_GB2312" w:hAnsi="宋体"/>
          <w:sz w:val="32"/>
          <w:szCs w:val="32"/>
        </w:rPr>
        <w:t>”</w:t>
      </w:r>
      <w:r w:rsidRPr="00463F80">
        <w:rPr>
          <w:rFonts w:ascii="仿宋_GB2312" w:eastAsia="仿宋_GB2312" w:hAnsi="宋体"/>
          <w:sz w:val="32"/>
          <w:szCs w:val="32"/>
        </w:rPr>
        <w:t>建设，推进信息技术在教学中融合创新。学校教育信息化案例《信息技术与教育融合促教学改革》获评2019年广东省教育信息化应用典型案例，同时入选2019年世界职业教育大会教育信息化优秀案例。教育信息化案例《信息化教学资源建设》入选职成司2019职教信息化发展报告。推进</w:t>
      </w:r>
      <w:r w:rsidRPr="00463F80">
        <w:rPr>
          <w:rFonts w:ascii="仿宋_GB2312" w:eastAsia="仿宋_GB2312" w:hAnsi="宋体"/>
          <w:sz w:val="32"/>
          <w:szCs w:val="32"/>
        </w:rPr>
        <w:t>“</w:t>
      </w:r>
      <w:r w:rsidRPr="00463F80">
        <w:rPr>
          <w:rFonts w:ascii="仿宋_GB2312" w:eastAsia="仿宋_GB2312" w:hAnsi="宋体"/>
          <w:sz w:val="32"/>
          <w:szCs w:val="32"/>
        </w:rPr>
        <w:t>校园开天眼</w:t>
      </w:r>
      <w:r w:rsidRPr="00463F80">
        <w:rPr>
          <w:rFonts w:ascii="仿宋_GB2312" w:eastAsia="仿宋_GB2312" w:hAnsi="宋体"/>
          <w:sz w:val="32"/>
          <w:szCs w:val="32"/>
        </w:rPr>
        <w:t>”</w:t>
      </w:r>
      <w:r w:rsidRPr="00463F80">
        <w:rPr>
          <w:rFonts w:ascii="仿宋_GB2312" w:eastAsia="仿宋_GB2312" w:hAnsi="宋体"/>
          <w:sz w:val="32"/>
          <w:szCs w:val="32"/>
        </w:rPr>
        <w:t>工作，重点推进白云校区平安校园监控二期建设项目，学生被盗、受骗案件发案率同比均下降20％以上，保障校园安全稳定。</w:t>
      </w:r>
    </w:p>
    <w:p w14:paraId="2B3B3549" w14:textId="4B43922E" w:rsidR="0048780F" w:rsidRPr="00463F80" w:rsidRDefault="00E46C9E" w:rsidP="009C7A21">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7.</w:t>
      </w:r>
      <w:r w:rsidR="0043517D" w:rsidRPr="00463F80">
        <w:rPr>
          <w:rFonts w:ascii="仿宋_GB2312" w:eastAsia="仿宋_GB2312" w:hAnsi="仿宋_GB2312"/>
          <w:b/>
          <w:bCs/>
          <w:sz w:val="32"/>
          <w:szCs w:val="32"/>
        </w:rPr>
        <w:t>聚焦招生、促进就业，学校</w:t>
      </w:r>
      <w:r w:rsidR="00116D76" w:rsidRPr="00463F80">
        <w:rPr>
          <w:rFonts w:ascii="仿宋_GB2312" w:eastAsia="仿宋_GB2312" w:hAnsi="仿宋_GB2312" w:hint="eastAsia"/>
          <w:b/>
          <w:bCs/>
          <w:sz w:val="32"/>
          <w:szCs w:val="32"/>
        </w:rPr>
        <w:t>招生和就业</w:t>
      </w:r>
      <w:r w:rsidR="0043517D" w:rsidRPr="00463F80">
        <w:rPr>
          <w:rFonts w:ascii="仿宋_GB2312" w:eastAsia="仿宋_GB2312" w:hAnsi="仿宋_GB2312"/>
          <w:b/>
          <w:bCs/>
          <w:sz w:val="32"/>
          <w:szCs w:val="32"/>
        </w:rPr>
        <w:t>两旺</w:t>
      </w:r>
    </w:p>
    <w:p w14:paraId="1978013F"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紧紧围绕提高人才培养质量，全方位提升招生就业工作水平，2019年学校录取第一志愿投档率100%、新生报到率89.58%，普通高考、学考招生录取分数均位居全省高职院校前10名，3+证书招生位居前5名。落实高职扩招政策，2019年增加招生超过1000人，第二期高职扩招专项招生1500多人，顺利完成质量扩招任务。积极拓宽就业渠道，2019年毕业生就业岗位供需比超过5：1，毕业生总体就业率达到99.92%，初次就业对口率为92.95%、平均就业起薪线为4398元/月，就业质量持续保持高水平；学校成功承办广东省2020届普通高校毕业生综合类高职高专专场供需见面会（全省3所承办的高职院校之一），为毕业生提供优质就业服务。学校超额完成征兵工作，被评为2018年度广东省征兵工作先进单位。</w:t>
      </w:r>
    </w:p>
    <w:p w14:paraId="2BD48B8E" w14:textId="1336F3F4" w:rsidR="0048780F" w:rsidRPr="00463F80" w:rsidRDefault="00E46C9E"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8.</w:t>
      </w:r>
      <w:r w:rsidR="0043517D" w:rsidRPr="00463F80">
        <w:rPr>
          <w:rFonts w:ascii="仿宋_GB2312" w:eastAsia="仿宋_GB2312" w:hAnsi="仿宋_GB2312"/>
          <w:b/>
          <w:bCs/>
          <w:sz w:val="32"/>
          <w:szCs w:val="32"/>
        </w:rPr>
        <w:t>综合改革、强化内控，学校治理水平获得新提升</w:t>
      </w:r>
    </w:p>
    <w:p w14:paraId="13FA8CDF"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坚持党委领导下的校长负责制，制定和修订学校《广东工贸职业技术学院事业编制聘用人员奖励性绩效工资分配办法（试行）》《广东工贸职业技术学院社会培训工作管理与收入分配办法》等制度文件，切实加强综合改革和内部风险控制。组织校内审计，分别开展了2017-2018年财务收支情况审计、广东省教育政策情况专项审计调查等，把审计整改转化为推动学校各项工作发展的强大动力。取得2018年度省直事业单位绩效考核一等奖，2019年教职工收入稳步提高，极大地提高了工作积极性和幸福指数，增强了对学校发展的信心。2019年，学校各项财政拨款支出完成率均达到99.5%以上，</w:t>
      </w:r>
      <w:r w:rsidRPr="00463F80">
        <w:rPr>
          <w:rFonts w:ascii="仿宋_GB2312" w:eastAsia="仿宋_GB2312" w:hAnsi="宋体"/>
          <w:sz w:val="32"/>
          <w:szCs w:val="32"/>
        </w:rPr>
        <w:t>“</w:t>
      </w:r>
      <w:r w:rsidRPr="00463F80">
        <w:rPr>
          <w:rFonts w:ascii="仿宋_GB2312" w:eastAsia="仿宋_GB2312" w:hAnsi="宋体"/>
          <w:sz w:val="32"/>
          <w:szCs w:val="32"/>
        </w:rPr>
        <w:t>创新强校</w:t>
      </w:r>
      <w:r w:rsidRPr="00463F80">
        <w:rPr>
          <w:rFonts w:ascii="仿宋_GB2312" w:eastAsia="仿宋_GB2312" w:hAnsi="宋体"/>
          <w:sz w:val="32"/>
          <w:szCs w:val="32"/>
        </w:rPr>
        <w:t>”</w:t>
      </w:r>
      <w:r w:rsidRPr="00463F80">
        <w:rPr>
          <w:rFonts w:ascii="仿宋_GB2312" w:eastAsia="仿宋_GB2312" w:hAnsi="宋体"/>
          <w:sz w:val="32"/>
          <w:szCs w:val="32"/>
        </w:rPr>
        <w:t>和</w:t>
      </w:r>
      <w:r w:rsidRPr="00463F80">
        <w:rPr>
          <w:rFonts w:ascii="仿宋_GB2312" w:eastAsia="仿宋_GB2312" w:hAnsi="宋体"/>
          <w:sz w:val="32"/>
          <w:szCs w:val="32"/>
        </w:rPr>
        <w:t>“</w:t>
      </w:r>
      <w:r w:rsidRPr="00463F80">
        <w:rPr>
          <w:rFonts w:ascii="仿宋_GB2312" w:eastAsia="仿宋_GB2312" w:hAnsi="宋体"/>
          <w:sz w:val="32"/>
          <w:szCs w:val="32"/>
        </w:rPr>
        <w:t>专业群建设</w:t>
      </w:r>
      <w:r w:rsidRPr="00463F80">
        <w:rPr>
          <w:rFonts w:ascii="仿宋_GB2312" w:eastAsia="仿宋_GB2312" w:hAnsi="宋体"/>
          <w:sz w:val="32"/>
          <w:szCs w:val="32"/>
        </w:rPr>
        <w:t>”</w:t>
      </w:r>
      <w:r w:rsidRPr="00463F80">
        <w:rPr>
          <w:rFonts w:ascii="仿宋_GB2312" w:eastAsia="仿宋_GB2312" w:hAnsi="宋体"/>
          <w:sz w:val="32"/>
          <w:szCs w:val="32"/>
        </w:rPr>
        <w:t>等教育教学专项项目资金支出完成率达到100%。2019年，学校部门财务决算连续7年获得教育厅的通报表彰，连续3年获得</w:t>
      </w:r>
      <w:r w:rsidRPr="00463F80">
        <w:rPr>
          <w:rFonts w:ascii="仿宋_GB2312" w:eastAsia="仿宋_GB2312" w:hAnsi="宋体"/>
          <w:sz w:val="32"/>
          <w:szCs w:val="32"/>
        </w:rPr>
        <w:t>“</w:t>
      </w:r>
      <w:r w:rsidRPr="00463F80">
        <w:rPr>
          <w:rFonts w:ascii="仿宋_GB2312" w:eastAsia="仿宋_GB2312" w:hAnsi="宋体"/>
          <w:sz w:val="32"/>
          <w:szCs w:val="32"/>
        </w:rPr>
        <w:t>优秀</w:t>
      </w:r>
      <w:r w:rsidRPr="00463F80">
        <w:rPr>
          <w:rFonts w:ascii="仿宋_GB2312" w:eastAsia="仿宋_GB2312" w:hAnsi="宋体"/>
          <w:sz w:val="32"/>
          <w:szCs w:val="32"/>
        </w:rPr>
        <w:t>”</w:t>
      </w:r>
      <w:r w:rsidRPr="00463F80">
        <w:rPr>
          <w:rFonts w:ascii="仿宋_GB2312" w:eastAsia="仿宋_GB2312" w:hAnsi="宋体"/>
          <w:sz w:val="32"/>
          <w:szCs w:val="32"/>
        </w:rPr>
        <w:t>表彰，是唯一获得殊荣的高职院校。支持和推进工会工作获省教科文卫工会授予</w:t>
      </w:r>
      <w:r w:rsidRPr="00463F80">
        <w:rPr>
          <w:rFonts w:ascii="仿宋_GB2312" w:eastAsia="仿宋_GB2312" w:hAnsi="宋体"/>
          <w:sz w:val="32"/>
          <w:szCs w:val="32"/>
        </w:rPr>
        <w:t>“</w:t>
      </w:r>
      <w:r w:rsidRPr="00463F80">
        <w:rPr>
          <w:rFonts w:ascii="仿宋_GB2312" w:eastAsia="仿宋_GB2312" w:hAnsi="宋体"/>
          <w:sz w:val="32"/>
          <w:szCs w:val="32"/>
        </w:rPr>
        <w:t>模范职工之家</w:t>
      </w:r>
      <w:r w:rsidRPr="00463F80">
        <w:rPr>
          <w:rFonts w:ascii="仿宋_GB2312" w:eastAsia="仿宋_GB2312" w:hAnsi="宋体"/>
          <w:sz w:val="32"/>
          <w:szCs w:val="32"/>
        </w:rPr>
        <w:t>”</w:t>
      </w:r>
      <w:r w:rsidRPr="00463F80">
        <w:rPr>
          <w:rFonts w:ascii="仿宋_GB2312" w:eastAsia="仿宋_GB2312" w:hAnsi="宋体"/>
          <w:sz w:val="32"/>
          <w:szCs w:val="32"/>
        </w:rPr>
        <w:t>。</w:t>
      </w:r>
    </w:p>
    <w:p w14:paraId="0DFB0907" w14:textId="52FA44B2" w:rsidR="0048780F" w:rsidRPr="00463F80" w:rsidRDefault="00E46C9E" w:rsidP="0066256F">
      <w:pPr>
        <w:spacing w:line="480" w:lineRule="auto"/>
        <w:ind w:firstLine="643"/>
        <w:rPr>
          <w:rFonts w:ascii="仿宋_GB2312" w:eastAsia="仿宋_GB2312" w:hAnsi="仿宋_GB2312"/>
          <w:sz w:val="32"/>
          <w:szCs w:val="32"/>
        </w:rPr>
      </w:pPr>
      <w:r w:rsidRPr="00463F80">
        <w:rPr>
          <w:rFonts w:ascii="仿宋_GB2312" w:eastAsia="仿宋_GB2312" w:hAnsi="仿宋_GB2312" w:hint="eastAsia"/>
          <w:b/>
          <w:bCs/>
          <w:sz w:val="32"/>
          <w:szCs w:val="32"/>
        </w:rPr>
        <w:t>9.</w:t>
      </w:r>
      <w:r w:rsidR="0043517D" w:rsidRPr="00463F80">
        <w:rPr>
          <w:rFonts w:ascii="仿宋_GB2312" w:eastAsia="仿宋_GB2312" w:hAnsi="仿宋_GB2312"/>
          <w:b/>
          <w:bCs/>
          <w:sz w:val="32"/>
          <w:szCs w:val="32"/>
        </w:rPr>
        <w:t>精准扶贫、拓展路径，对口帮扶工作顺利推进</w:t>
      </w:r>
    </w:p>
    <w:p w14:paraId="729605FD" w14:textId="77777777" w:rsidR="0048780F" w:rsidRPr="00463F80" w:rsidRDefault="0043517D"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sz w:val="32"/>
          <w:szCs w:val="32"/>
        </w:rPr>
        <w:t>“</w:t>
      </w:r>
      <w:r w:rsidRPr="00463F80">
        <w:rPr>
          <w:rFonts w:ascii="仿宋_GB2312" w:eastAsia="仿宋_GB2312" w:hAnsi="宋体"/>
          <w:sz w:val="32"/>
          <w:szCs w:val="32"/>
        </w:rPr>
        <w:t>政校行企</w:t>
      </w:r>
      <w:r w:rsidRPr="00463F80">
        <w:rPr>
          <w:rFonts w:ascii="仿宋_GB2312" w:eastAsia="仿宋_GB2312" w:hAnsi="宋体"/>
          <w:sz w:val="32"/>
          <w:szCs w:val="32"/>
        </w:rPr>
        <w:t>”</w:t>
      </w:r>
      <w:r w:rsidRPr="00463F80">
        <w:rPr>
          <w:rFonts w:ascii="仿宋_GB2312" w:eastAsia="仿宋_GB2312" w:hAnsi="宋体"/>
          <w:sz w:val="32"/>
          <w:szCs w:val="32"/>
        </w:rPr>
        <w:t>协同，精准扶贫茂名市化州市丽岗镇镇安村，通过实施多元化立体式帮扶举措，特别是实施学校特色帮扶项目</w:t>
      </w:r>
      <w:r w:rsidRPr="00463F80">
        <w:rPr>
          <w:rFonts w:ascii="仿宋_GB2312" w:eastAsia="仿宋_GB2312" w:hAnsi="宋体"/>
          <w:sz w:val="32"/>
          <w:szCs w:val="32"/>
        </w:rPr>
        <w:t>“</w:t>
      </w:r>
      <w:r w:rsidRPr="00463F80">
        <w:rPr>
          <w:rFonts w:ascii="仿宋_GB2312" w:eastAsia="仿宋_GB2312" w:hAnsi="宋体"/>
          <w:sz w:val="32"/>
          <w:szCs w:val="32"/>
        </w:rPr>
        <w:t>互联网+精准扶贫</w:t>
      </w:r>
      <w:r w:rsidRPr="00463F80">
        <w:rPr>
          <w:rFonts w:ascii="仿宋_GB2312" w:eastAsia="仿宋_GB2312" w:hAnsi="宋体"/>
          <w:sz w:val="32"/>
          <w:szCs w:val="32"/>
        </w:rPr>
        <w:t>”</w:t>
      </w:r>
      <w:r w:rsidRPr="00463F80">
        <w:rPr>
          <w:rFonts w:ascii="仿宋_GB2312" w:eastAsia="仿宋_GB2312" w:hAnsi="宋体"/>
          <w:sz w:val="32"/>
          <w:szCs w:val="32"/>
        </w:rPr>
        <w:t>带动农产品电商销售额达到70457元，组织发动学校各基层党组织、师生员工捐款筹资、消费扶贫约30万元开展帮扶。实现了帮扶村建档立卡贫困户103户294人中脱贫100户284人，脱贫率达97%。学校在2018年度定点扶贫考核综合评价为</w:t>
      </w:r>
      <w:r w:rsidRPr="00463F80">
        <w:rPr>
          <w:rFonts w:ascii="仿宋_GB2312" w:eastAsia="仿宋_GB2312" w:hAnsi="宋体"/>
          <w:sz w:val="32"/>
          <w:szCs w:val="32"/>
        </w:rPr>
        <w:t>“</w:t>
      </w:r>
      <w:r w:rsidRPr="00463F80">
        <w:rPr>
          <w:rFonts w:ascii="仿宋_GB2312" w:eastAsia="仿宋_GB2312" w:hAnsi="宋体"/>
          <w:sz w:val="32"/>
          <w:szCs w:val="32"/>
        </w:rPr>
        <w:t>好</w:t>
      </w:r>
      <w:r w:rsidRPr="00463F80">
        <w:rPr>
          <w:rFonts w:ascii="仿宋_GB2312" w:eastAsia="仿宋_GB2312" w:hAnsi="宋体"/>
          <w:sz w:val="32"/>
          <w:szCs w:val="32"/>
        </w:rPr>
        <w:t>”</w:t>
      </w:r>
      <w:r w:rsidRPr="00463F80">
        <w:rPr>
          <w:rFonts w:ascii="仿宋_GB2312" w:eastAsia="仿宋_GB2312" w:hAnsi="宋体"/>
          <w:sz w:val="32"/>
          <w:szCs w:val="32"/>
        </w:rPr>
        <w:t>等级，驻村第一书记获</w:t>
      </w:r>
      <w:r w:rsidRPr="00463F80">
        <w:rPr>
          <w:rFonts w:ascii="仿宋_GB2312" w:eastAsia="仿宋_GB2312" w:hAnsi="宋体"/>
          <w:sz w:val="32"/>
          <w:szCs w:val="32"/>
        </w:rPr>
        <w:t>“</w:t>
      </w:r>
      <w:r w:rsidRPr="00463F80">
        <w:rPr>
          <w:rFonts w:ascii="仿宋_GB2312" w:eastAsia="仿宋_GB2312" w:hAnsi="宋体"/>
          <w:sz w:val="32"/>
          <w:szCs w:val="32"/>
        </w:rPr>
        <w:t>广东省2016-2018年脱贫攻坚突出贡献个人</w:t>
      </w:r>
      <w:r w:rsidRPr="00463F80">
        <w:rPr>
          <w:rFonts w:ascii="仿宋_GB2312" w:eastAsia="仿宋_GB2312" w:hAnsi="宋体"/>
          <w:sz w:val="32"/>
          <w:szCs w:val="32"/>
        </w:rPr>
        <w:t>”</w:t>
      </w:r>
      <w:r w:rsidRPr="00463F80">
        <w:rPr>
          <w:rFonts w:ascii="仿宋_GB2312" w:eastAsia="仿宋_GB2312" w:hAnsi="宋体"/>
          <w:sz w:val="32"/>
          <w:szCs w:val="32"/>
        </w:rPr>
        <w:t>。实施省一流高职院校结对帮扶计划，对口帮扶汕头职业技术学院和广东财贸职业学院，分别制定了结对帮扶方案并与两校签订帮扶协议，派出3名中层干部到汕头职业技术学院指导开展党建、质量工程、创新强校工程等工作，指导广东财贸职业学院实施创新强校工程项目。</w:t>
      </w:r>
    </w:p>
    <w:p w14:paraId="0070C0D0" w14:textId="7D50A7EB" w:rsidR="0048780F" w:rsidRPr="00463F80" w:rsidRDefault="00A23C6B" w:rsidP="00B27EBE">
      <w:pPr>
        <w:pStyle w:val="3"/>
        <w:ind w:firstLine="643"/>
      </w:pPr>
      <w:bookmarkStart w:id="25" w:name="_Toc41904211"/>
      <w:r w:rsidRPr="00463F80">
        <w:rPr>
          <w:rFonts w:hint="eastAsia"/>
        </w:rPr>
        <w:t>（</w:t>
      </w:r>
      <w:r w:rsidR="009C6C85" w:rsidRPr="00463F80">
        <w:rPr>
          <w:rFonts w:hint="eastAsia"/>
        </w:rPr>
        <w:t>四</w:t>
      </w:r>
      <w:r w:rsidRPr="00463F80">
        <w:rPr>
          <w:rFonts w:hint="eastAsia"/>
        </w:rPr>
        <w:t>）</w:t>
      </w:r>
      <w:r w:rsidR="0087378B" w:rsidRPr="00463F80">
        <w:t>对部门本级支出的经济活动进行成本效益分析</w:t>
      </w:r>
      <w:bookmarkEnd w:id="25"/>
    </w:p>
    <w:p w14:paraId="4BE6296C"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自2016年起，学校本级支出总体呈上升趋势，2019年总支出比2018年增加了7276.25万元，增幅23.28%。</w:t>
      </w:r>
    </w:p>
    <w:p w14:paraId="57CFE12F" w14:textId="77777777" w:rsidR="001B3E02" w:rsidRPr="00463F80" w:rsidRDefault="001B3E02" w:rsidP="009F65D9">
      <w:pPr>
        <w:pStyle w:val="a6"/>
        <w:numPr>
          <w:ilvl w:val="0"/>
          <w:numId w:val="35"/>
        </w:numPr>
        <w:snapToGrid w:val="0"/>
        <w:spacing w:line="560" w:lineRule="exact"/>
        <w:ind w:left="0" w:firstLineChars="0" w:firstLine="200"/>
        <w:rPr>
          <w:rFonts w:ascii="仿宋_GB2312" w:eastAsia="仿宋_GB2312" w:hAnsi="宋体"/>
          <w:sz w:val="32"/>
          <w:szCs w:val="32"/>
        </w:rPr>
      </w:pPr>
      <w:r w:rsidRPr="00463F80">
        <w:rPr>
          <w:rFonts w:ascii="仿宋_GB2312" w:eastAsia="仿宋_GB2312" w:hAnsi="宋体" w:hint="eastAsia"/>
          <w:sz w:val="32"/>
          <w:szCs w:val="32"/>
        </w:rPr>
        <w:t>工资福利支出呈增长趋势，2019年工资福利支出比2018年增加6875.58万元，增幅52.94％，教职工工资福利小幅度提高，达到同类学校平均水平，预算完成率控制在99.01%，相较于2018年预算完成率，下降了13.69%，预算内支出控制效果明显。工资福利支出增长原因如下：一是预算资金相比往年有所提高。2019年追加的2019年教育发展专项资金(提高高等教育毛入学率)2293万元、省属学校生均拨款提标经费1532万元、省属学校生均拨款提标经费（第二批）3575万元中的3450.69万元，合计7275.69万元用于发放工资福利费，等于追加了相同金额的预算资金；二是根据《广东省人民政府关于贯彻落实&lt;国务院关于机关事业单位工作人员养老保险制度改革的决定&gt;的通知》（粤府[2015]129号）、《广东省社会保险基金管理局关于征缴机关事业单位职业年金的通知》（粤社保函[2019]135号）等文件，2019年增加补交2014-2018年机关事业单位基本养老保险缴费支出1588.16万元、增加2019年职业年金缴费415.80万元、增加补发2017、2018年绩效支出3812.52万元、其他原因增加支出1059.1万元；三是2016年至2019年期间，学校教职工人数不断增加，2019年在职教职工人数为666人，2018年在职教职工人数为652人，同比增加14人，在职教职工人数与工资福利支出成正比。尽管2019年工资福利支出占比较大，但由于2019年工资福利补缴项目较多，且学校近10年进行新校区建设，资金比较紧张，教职工绩效工资依然未足额发放。</w:t>
      </w:r>
    </w:p>
    <w:p w14:paraId="5CFEB6D1"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从效益上看，2019年我校教职工满意度为96.58%，工资福利支出增加，提高了教职工薪酬待遇水平，保证学校各项惠民生政策落到实处，提高了广大教职工工作积极性和幸福指数，增强教职工对学校发展的信心。</w:t>
      </w:r>
    </w:p>
    <w:p w14:paraId="32B85B99" w14:textId="77777777" w:rsidR="001B3E02" w:rsidRPr="00463F80" w:rsidRDefault="001B3E02" w:rsidP="009F65D9">
      <w:pPr>
        <w:pStyle w:val="a6"/>
        <w:numPr>
          <w:ilvl w:val="0"/>
          <w:numId w:val="35"/>
        </w:numPr>
        <w:snapToGrid w:val="0"/>
        <w:spacing w:line="560" w:lineRule="exact"/>
        <w:ind w:left="0" w:firstLineChars="0" w:firstLine="200"/>
        <w:rPr>
          <w:rFonts w:ascii="仿宋_GB2312" w:eastAsia="仿宋_GB2312" w:hAnsi="宋体"/>
          <w:sz w:val="32"/>
          <w:szCs w:val="32"/>
        </w:rPr>
      </w:pPr>
      <w:r w:rsidRPr="00463F80">
        <w:rPr>
          <w:rFonts w:ascii="仿宋_GB2312" w:eastAsia="仿宋_GB2312" w:hAnsi="宋体" w:hint="eastAsia"/>
          <w:sz w:val="32"/>
          <w:szCs w:val="32"/>
        </w:rPr>
        <w:t>商品服务支出呈较平稳趋势，变动幅度小。我校坚决贯彻落实省政府关于节用裕民，带头过“紧日子”，严控一般性支出，压缩行政支出的指导方针，厉行节约，相比2018年，2019年大幅度压缩商品服务支出预算15.3%，商品服务支出预算完成率仅为88.46%，比预算减少支出998.60万元，其中有866.99万元为创新强校工程非财政专项项目支出预算结转。2019年，商品服务支出人均数较2018年减少0.07万元/人。</w:t>
      </w:r>
    </w:p>
    <w:p w14:paraId="659ED718"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从经济性指标和公用经费控制率上看，2019年“三公”经费实际支出数233.83，预算292.57万元，预算完成率为79.92%，实际支出数小于预算数。其中，公务接待费完成预算的18.07%； 因公出国(境)费中，187.57万元为年中追加财政专项项目支出，预算完成95.15%；公务用车运行维护费预算完成89.42%。我校2019年日常公用经费决算数为861.34万元，等于日常公用经费调整预算数。决算数均未超过预算数，成本控制较好。</w:t>
      </w:r>
    </w:p>
    <w:p w14:paraId="19AE9DBF"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效益上看，商品服务支出保障了学校基本运行费用，保证了学校正常平稳运行。我校以教学为中心，2019年投入教学运行与日常教学经费3664.79万元，顺利完成457个班级的日常教学任务，助推学校内涵建设与发展，促进了学校的教育教学和人才培养质量稳步提高；2019年我校完成扩容招生任务，增加招生超过1000人，积极响应高职扩招，第二期高职扩招专项招生1500人；推进科研团队平台建设，基本建成“三依托、三平台、三服务、三保障” 4S科技创新服务模式，新建2个国家级、1个省级、11个校级应用技术协同创新中心和1个省级、6个校级协同创新服务团队。建立重大项目申报常态化“预研”机制，成功立项各类省级课题35项，为企业技术服务年规模达650万元。获发明专利3件，成果转化2项；开展八大类培训，培训教师749人次；外出参与多项省级会议及业务培训；2019年成人教育录取831人、网络教育招生2443人、专升本招生540人，组织鉴定考试16项，共15476人次，培训学院获评兰州大学优秀学习中心和华南师范大学优秀教学点；响应习总书记“文明其精神，野蛮其体魄”的号召，组织参与体育活动，获广东省大运会4枚金牌、3枚银牌、4枚铜牌；省赛6个第一，7个第二,5个第三，13个第四，3个第五，6个第六，4个第七；国赛1个第七；开展各类思政活动、团日活动1223场次，参与“三下乡”“挑战杯”等活动，学生获得国家级奖项64项，省部级奖项236项；开展思政工作，组织开展12次党委理论学习中心组学习，组织1次省委宣讲团广东经济形式报告会和30次思政“第一课”，开展“庆祖国七十华诞 逐青春韶华梦想”系列主题活动、师德教育主题教育月活动等12项主题活动，学校在省教育工委师德征文和微视频征集活动中获“优秀组织奖”，学校官微荣获全国高职院校官微百强称号、获全省高校（高职高专类）官微影响力一等奖等多项成果。</w:t>
      </w:r>
    </w:p>
    <w:p w14:paraId="5AE65CAF" w14:textId="77777777" w:rsidR="001B3E02" w:rsidRPr="00463F80" w:rsidRDefault="001B3E02" w:rsidP="0066256F">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3. 对个人和家庭补助支出先升后降，总体呈下降趋势，2019年支出为四年来最少，2019年对个人家庭补助支出比2018年减少202.51万元，降幅6.26%，支出与预算数基本持平，成本控制效果明显。</w:t>
      </w:r>
    </w:p>
    <w:p w14:paraId="527E9D89"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效益上看，虽2019年对个人和家庭补助支出最少，但依然完成了离退休人员116人离退休费用的及时发放，通过校内奖助学金资助学生共约3.4万人次，发放资金560.74万元，帮助广大家庭经济困难的学生顺利完成学业，对获得奖项的学生予以奖励，促进教育公平、社会公正、校园和谐。</w:t>
      </w:r>
    </w:p>
    <w:p w14:paraId="5E6E6330"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4. 债务利息支出呈下降趋势，2019年债务利息支出比2018年减少558.17万元，降幅为37.93%。2019年债务利息支出预算完成率</w:t>
      </w:r>
      <w:r w:rsidRPr="00463F80">
        <w:rPr>
          <w:rFonts w:ascii="仿宋_GB2312" w:eastAsia="仿宋_GB2312" w:hAnsi="宋体"/>
          <w:sz w:val="32"/>
          <w:szCs w:val="32"/>
        </w:rPr>
        <w:t>87.98%</w:t>
      </w:r>
      <w:r w:rsidRPr="00463F80">
        <w:rPr>
          <w:rFonts w:ascii="仿宋_GB2312" w:eastAsia="仿宋_GB2312" w:hAnsi="宋体" w:hint="eastAsia"/>
          <w:sz w:val="32"/>
          <w:szCs w:val="32"/>
        </w:rPr>
        <w:t>，实际支出控制在预算内。我校通过每年偿还贷款以减少债务利息支出，尽可能进行成本控制。2019年还贷1000万元本金，加之银行贷款利率下调，利息支出大幅减少。</w:t>
      </w:r>
    </w:p>
    <w:p w14:paraId="4BE02126"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从效益上看，债务利息支出减少，节约开支，体现了资金经济性效益，保障了学校教学、行政等业务的正常运转。</w:t>
      </w:r>
    </w:p>
    <w:p w14:paraId="70647A2E"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5. 债务还本支出呈波动状态。2017年因收入化解高校债务资金4000万元，故当年偿还债务本金金额较高。2019年相较2018年，债务还本支出增加500万元，增长幅度100%，预算完成率71.43%，还本支出增多有利于节约债务利息支出，控制成本，防控风险。</w:t>
      </w:r>
    </w:p>
    <w:p w14:paraId="59B02C92"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从效益上看，偿还建设银行贷款本金，有利于减少学校贷款余额及学校贷款利息支出，减轻学校财务压力，防范贷款违约风险，保持学校财务资金运作稳定，控制财务风险，保障学校正常运行。</w:t>
      </w:r>
    </w:p>
    <w:p w14:paraId="56AAD29A"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6. 其他资本性支出呈波动趋势，2019年相较2018年，其他资本性支出增加546.51万元，其中基建支出增加房屋建筑物购建支出2686.77-2014.07（2018年）=672.7万元。基建支出（不含还贷支出）四年来总体呈平稳状态，实际支出控制在预算内，成本控制效果较为理想。其他资本性支出的非基建支出部分共节约126.19万元，我校厉行节约，实现成本控制，资金使用经济性有所体现。</w:t>
      </w:r>
    </w:p>
    <w:p w14:paraId="725E378F" w14:textId="77777777" w:rsidR="001B3E02" w:rsidRPr="00463F80" w:rsidRDefault="001B3E02" w:rsidP="009F65D9">
      <w:pPr>
        <w:snapToGrid w:val="0"/>
        <w:spacing w:line="560" w:lineRule="exact"/>
        <w:ind w:firstLine="640"/>
        <w:rPr>
          <w:rFonts w:ascii="仿宋_GB2312" w:eastAsia="仿宋_GB2312" w:hAnsi="宋体"/>
          <w:sz w:val="32"/>
          <w:szCs w:val="32"/>
        </w:rPr>
      </w:pPr>
      <w:r w:rsidRPr="00463F80">
        <w:rPr>
          <w:rFonts w:ascii="仿宋_GB2312" w:eastAsia="仿宋_GB2312" w:hAnsi="宋体" w:hint="eastAsia"/>
          <w:sz w:val="32"/>
          <w:szCs w:val="32"/>
        </w:rPr>
        <w:t>从效益上看，2019年我校新增固定资产29,064.00件，相比上一年增长16.96%。其中，土地、房屋及构筑物增加37项，同比增长18.62%。其他资本性支出的非基建支出部分在节约了126.19万元的基础上，增加了通用设备1,216.00件，专用设备68件，图书、档案24,006.00册，家具、用具、装具及动植物增加3,735.00件，文物和陈列品2件。在控制成本的基础上，完成学校资产的正常购置，保证合理需求的实现，保障学校常规业务的正常运转，预算使用效益较好。</w:t>
      </w:r>
    </w:p>
    <w:p w14:paraId="734F7FC9" w14:textId="77777777" w:rsidR="001B3E02" w:rsidRPr="00463F80" w:rsidRDefault="001B3E02" w:rsidP="0066256F">
      <w:pPr>
        <w:ind w:firstLine="420"/>
      </w:pPr>
    </w:p>
    <w:p w14:paraId="1EB16671" w14:textId="77777777" w:rsidR="00F85FAE" w:rsidRPr="00463F80" w:rsidRDefault="00F85FAE" w:rsidP="00F85FAE">
      <w:pPr>
        <w:spacing w:line="240" w:lineRule="atLeast"/>
        <w:ind w:firstLineChars="800" w:firstLine="2249"/>
        <w:rPr>
          <w:rFonts w:ascii="宋体" w:hAnsi="宋体"/>
          <w:b/>
          <w:sz w:val="28"/>
          <w:szCs w:val="28"/>
        </w:rPr>
      </w:pPr>
      <w:r w:rsidRPr="00463F80">
        <w:rPr>
          <w:rFonts w:ascii="宋体" w:hAnsi="宋体" w:hint="eastAsia"/>
          <w:b/>
          <w:sz w:val="28"/>
          <w:szCs w:val="28"/>
        </w:rPr>
        <w:t>表9</w:t>
      </w:r>
      <w:r w:rsidRPr="00463F80">
        <w:rPr>
          <w:rFonts w:ascii="宋体" w:hAnsi="宋体"/>
          <w:b/>
          <w:sz w:val="28"/>
          <w:szCs w:val="28"/>
        </w:rPr>
        <w:t xml:space="preserve"> </w:t>
      </w:r>
      <w:r w:rsidRPr="00463F80">
        <w:rPr>
          <w:rFonts w:ascii="宋体" w:hAnsi="宋体" w:hint="eastAsia"/>
          <w:b/>
          <w:sz w:val="28"/>
          <w:szCs w:val="28"/>
        </w:rPr>
        <w:t xml:space="preserve">  支出经济分类对比表 </w:t>
      </w:r>
      <w:r w:rsidRPr="00463F80">
        <w:rPr>
          <w:rFonts w:ascii="宋体" w:eastAsia="仿宋_GB2312" w:hAnsi="宋体" w:hint="eastAsia"/>
          <w:b/>
          <w:bCs/>
          <w:sz w:val="32"/>
        </w:rPr>
        <w:t xml:space="preserve"> </w:t>
      </w:r>
      <w:r w:rsidRPr="00463F80">
        <w:rPr>
          <w:rFonts w:ascii="宋体" w:eastAsia="仿宋_GB2312" w:hAnsi="宋体" w:hint="eastAsia"/>
          <w:b/>
          <w:bCs/>
          <w:sz w:val="28"/>
        </w:rPr>
        <w:t xml:space="preserve">  </w:t>
      </w:r>
      <w:r w:rsidRPr="00463F80">
        <w:rPr>
          <w:rFonts w:ascii="宋体" w:hAnsi="宋体" w:hint="eastAsia"/>
          <w:b/>
          <w:sz w:val="28"/>
          <w:szCs w:val="28"/>
        </w:rPr>
        <w:t>单位：万元</w:t>
      </w:r>
    </w:p>
    <w:tbl>
      <w:tblPr>
        <w:tblStyle w:val="a"/>
        <w:tblW w:w="11040" w:type="dxa"/>
        <w:tblLayout w:type="fixed"/>
        <w:tblCellMar>
          <w:left w:w="0" w:type="dxa"/>
          <w:right w:w="0" w:type="dxa"/>
        </w:tblCellMar>
        <w:tblLook w:val="0000" w:firstRow="0" w:lastRow="0" w:firstColumn="0" w:lastColumn="0" w:noHBand="0" w:noVBand="0"/>
      </w:tblPr>
      <w:tblGrid>
        <w:gridCol w:w="2977"/>
        <w:gridCol w:w="1248"/>
        <w:gridCol w:w="1276"/>
        <w:gridCol w:w="1275"/>
        <w:gridCol w:w="1134"/>
        <w:gridCol w:w="1701"/>
        <w:gridCol w:w="1429"/>
      </w:tblGrid>
      <w:tr w:rsidR="00463F80" w:rsidRPr="00463F80" w14:paraId="0BE6EAB8" w14:textId="77777777" w:rsidTr="00350976">
        <w:trPr>
          <w:gridAfter w:val="1"/>
          <w:wAfter w:w="1429" w:type="dxa"/>
          <w:trHeight w:val="765"/>
        </w:trPr>
        <w:tc>
          <w:tcPr>
            <w:tcW w:w="2977" w:type="dxa"/>
            <w:tcBorders>
              <w:top w:val="single" w:sz="6" w:space="0" w:color="auto"/>
              <w:left w:val="single" w:sz="6" w:space="0" w:color="auto"/>
              <w:bottom w:val="single" w:sz="6" w:space="0" w:color="auto"/>
              <w:right w:val="single" w:sz="4" w:space="0" w:color="auto"/>
            </w:tcBorders>
            <w:tcMar>
              <w:top w:w="20" w:type="dxa"/>
              <w:left w:w="20" w:type="dxa"/>
              <w:bottom w:w="0" w:type="dxa"/>
              <w:right w:w="20" w:type="dxa"/>
            </w:tcMar>
            <w:vAlign w:val="center"/>
          </w:tcPr>
          <w:p w14:paraId="16B3CA61" w14:textId="77777777" w:rsidR="00F85FAE" w:rsidRPr="00463F80" w:rsidRDefault="00F85FAE" w:rsidP="00F85FAE">
            <w:pPr>
              <w:spacing w:line="240" w:lineRule="atLeast"/>
              <w:ind w:firstLineChars="0" w:firstLine="0"/>
              <w:jc w:val="center"/>
              <w:rPr>
                <w:rFonts w:ascii="仿宋_GB2312" w:eastAsia="仿宋_GB2312" w:hAnsi="宋体" w:cs="Arial Unicode MS"/>
                <w:b/>
                <w:bCs/>
                <w:sz w:val="24"/>
              </w:rPr>
            </w:pPr>
            <w:bookmarkStart w:id="26" w:name="_Hlk40886670"/>
            <w:r w:rsidRPr="00463F80">
              <w:rPr>
                <w:rFonts w:ascii="仿宋_GB2312" w:eastAsia="仿宋_GB2312" w:hAnsi="宋体" w:hint="eastAsia"/>
                <w:b/>
                <w:bCs/>
                <w:sz w:val="24"/>
              </w:rPr>
              <w:t>支出经济分类科目</w:t>
            </w:r>
          </w:p>
        </w:tc>
        <w:tc>
          <w:tcPr>
            <w:tcW w:w="1248" w:type="dxa"/>
            <w:tcBorders>
              <w:top w:val="single" w:sz="4"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0A67B01A" w14:textId="77777777" w:rsidR="00F85FAE" w:rsidRPr="00463F80" w:rsidRDefault="00F85FAE" w:rsidP="00F85FAE">
            <w:pPr>
              <w:spacing w:line="240" w:lineRule="atLeast"/>
              <w:ind w:firstLineChars="0" w:firstLine="0"/>
              <w:jc w:val="center"/>
              <w:rPr>
                <w:rFonts w:ascii="仿宋_GB2312" w:eastAsia="仿宋_GB2312" w:hAnsi="宋体"/>
                <w:b/>
                <w:bCs/>
                <w:sz w:val="24"/>
              </w:rPr>
            </w:pPr>
            <w:r w:rsidRPr="00463F80">
              <w:rPr>
                <w:rFonts w:ascii="仿宋_GB2312" w:eastAsia="仿宋_GB2312" w:hAnsi="宋体" w:hint="eastAsia"/>
                <w:b/>
                <w:bCs/>
                <w:sz w:val="24"/>
              </w:rPr>
              <w:t>2016年</w:t>
            </w:r>
          </w:p>
        </w:tc>
        <w:tc>
          <w:tcPr>
            <w:tcW w:w="1276" w:type="dxa"/>
            <w:tcBorders>
              <w:top w:val="single" w:sz="4" w:space="0" w:color="auto"/>
              <w:left w:val="single" w:sz="6" w:space="0" w:color="auto"/>
              <w:bottom w:val="single" w:sz="6" w:space="0" w:color="auto"/>
              <w:right w:val="single" w:sz="6" w:space="0" w:color="auto"/>
            </w:tcBorders>
            <w:vAlign w:val="center"/>
          </w:tcPr>
          <w:p w14:paraId="46DB8626" w14:textId="77777777" w:rsidR="00F85FAE" w:rsidRPr="00463F80" w:rsidRDefault="00F85FAE" w:rsidP="00F85FAE">
            <w:pPr>
              <w:spacing w:line="240" w:lineRule="atLeast"/>
              <w:ind w:firstLineChars="11" w:firstLine="26"/>
              <w:jc w:val="center"/>
              <w:rPr>
                <w:rFonts w:ascii="仿宋_GB2312" w:eastAsia="仿宋_GB2312" w:hAnsi="宋体"/>
                <w:b/>
                <w:bCs/>
                <w:sz w:val="24"/>
              </w:rPr>
            </w:pPr>
            <w:r w:rsidRPr="00463F80">
              <w:rPr>
                <w:rFonts w:ascii="仿宋_GB2312" w:eastAsia="仿宋_GB2312" w:hAnsi="宋体" w:hint="eastAsia"/>
                <w:b/>
                <w:bCs/>
                <w:sz w:val="24"/>
              </w:rPr>
              <w:t>2017年</w:t>
            </w:r>
          </w:p>
        </w:tc>
        <w:tc>
          <w:tcPr>
            <w:tcW w:w="1275" w:type="dxa"/>
            <w:tcBorders>
              <w:top w:val="single" w:sz="4" w:space="0" w:color="auto"/>
              <w:left w:val="single" w:sz="6" w:space="0" w:color="auto"/>
              <w:bottom w:val="single" w:sz="6" w:space="0" w:color="auto"/>
              <w:right w:val="single" w:sz="6" w:space="0" w:color="auto"/>
            </w:tcBorders>
            <w:vAlign w:val="center"/>
          </w:tcPr>
          <w:p w14:paraId="6EB63C30" w14:textId="77777777" w:rsidR="00F85FAE" w:rsidRPr="00463F80" w:rsidRDefault="00F85FAE" w:rsidP="00F85FAE">
            <w:pPr>
              <w:spacing w:line="240" w:lineRule="atLeast"/>
              <w:ind w:firstLineChars="11" w:firstLine="26"/>
              <w:jc w:val="center"/>
              <w:rPr>
                <w:rFonts w:ascii="仿宋_GB2312" w:eastAsia="仿宋_GB2312" w:hAnsi="宋体"/>
                <w:b/>
                <w:bCs/>
                <w:sz w:val="24"/>
              </w:rPr>
            </w:pPr>
            <w:r w:rsidRPr="00463F80">
              <w:rPr>
                <w:rFonts w:ascii="仿宋_GB2312" w:eastAsia="仿宋_GB2312" w:hAnsi="宋体" w:hint="eastAsia"/>
                <w:b/>
                <w:bCs/>
                <w:sz w:val="24"/>
              </w:rPr>
              <w:t>2018年</w:t>
            </w:r>
          </w:p>
        </w:tc>
        <w:tc>
          <w:tcPr>
            <w:tcW w:w="1134" w:type="dxa"/>
            <w:tcBorders>
              <w:top w:val="single" w:sz="4" w:space="0" w:color="auto"/>
              <w:left w:val="single" w:sz="6" w:space="0" w:color="auto"/>
              <w:bottom w:val="single" w:sz="6" w:space="0" w:color="auto"/>
              <w:right w:val="single" w:sz="6" w:space="0" w:color="auto"/>
            </w:tcBorders>
            <w:vAlign w:val="center"/>
          </w:tcPr>
          <w:p w14:paraId="602FFC37" w14:textId="77777777" w:rsidR="00F85FAE" w:rsidRPr="00463F80" w:rsidRDefault="00F85FAE" w:rsidP="00F85FAE">
            <w:pPr>
              <w:ind w:firstLineChars="0" w:firstLine="0"/>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2019年</w:t>
            </w:r>
          </w:p>
        </w:tc>
        <w:tc>
          <w:tcPr>
            <w:tcW w:w="1701" w:type="dxa"/>
            <w:tcBorders>
              <w:top w:val="single" w:sz="4" w:space="0" w:color="auto"/>
              <w:left w:val="single" w:sz="6" w:space="0" w:color="auto"/>
              <w:bottom w:val="single" w:sz="6" w:space="0" w:color="auto"/>
              <w:right w:val="single" w:sz="6" w:space="0" w:color="auto"/>
            </w:tcBorders>
            <w:vAlign w:val="center"/>
          </w:tcPr>
          <w:p w14:paraId="2BEBB0B5" w14:textId="77777777" w:rsidR="00F85FAE" w:rsidRPr="00463F80" w:rsidRDefault="00F85FAE" w:rsidP="00F85FAE">
            <w:pPr>
              <w:ind w:firstLineChars="0" w:firstLine="0"/>
              <w:jc w:val="center"/>
              <w:rPr>
                <w:rFonts w:ascii="仿宋_GB2312" w:eastAsia="仿宋_GB2312" w:hAnsi="宋体" w:cs="宋体"/>
                <w:b/>
                <w:bCs/>
                <w:kern w:val="0"/>
                <w:sz w:val="24"/>
              </w:rPr>
            </w:pPr>
            <w:r w:rsidRPr="00463F80">
              <w:rPr>
                <w:rFonts w:ascii="仿宋_GB2312" w:eastAsia="仿宋_GB2312" w:hAnsi="宋体" w:cs="宋体" w:hint="eastAsia"/>
                <w:b/>
                <w:bCs/>
                <w:kern w:val="0"/>
                <w:sz w:val="24"/>
              </w:rPr>
              <w:t>2019年比2018年增幅</w:t>
            </w:r>
          </w:p>
        </w:tc>
      </w:tr>
      <w:tr w:rsidR="00463F80" w:rsidRPr="00463F80" w14:paraId="1FE260B9" w14:textId="77777777" w:rsidTr="00350976">
        <w:trPr>
          <w:gridAfter w:val="1"/>
          <w:wAfter w:w="1429" w:type="dxa"/>
          <w:trHeight w:val="408"/>
        </w:trPr>
        <w:tc>
          <w:tcPr>
            <w:tcW w:w="2977" w:type="dxa"/>
            <w:tcBorders>
              <w:top w:val="single" w:sz="6" w:space="0" w:color="auto"/>
              <w:left w:val="single" w:sz="6" w:space="0" w:color="auto"/>
              <w:bottom w:val="single" w:sz="6" w:space="0" w:color="auto"/>
              <w:right w:val="single" w:sz="4" w:space="0" w:color="auto"/>
            </w:tcBorders>
            <w:tcMar>
              <w:top w:w="20" w:type="dxa"/>
              <w:left w:w="20" w:type="dxa"/>
              <w:bottom w:w="0" w:type="dxa"/>
              <w:right w:w="20" w:type="dxa"/>
            </w:tcMar>
            <w:vAlign w:val="center"/>
          </w:tcPr>
          <w:p w14:paraId="34C75BF4"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工资福利支出</w:t>
            </w:r>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5F1F6193"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7261.79</w:t>
            </w:r>
          </w:p>
        </w:tc>
        <w:tc>
          <w:tcPr>
            <w:tcW w:w="1276" w:type="dxa"/>
            <w:tcBorders>
              <w:top w:val="single" w:sz="6" w:space="0" w:color="auto"/>
              <w:left w:val="single" w:sz="6" w:space="0" w:color="auto"/>
              <w:bottom w:val="single" w:sz="6" w:space="0" w:color="auto"/>
              <w:right w:val="single" w:sz="6" w:space="0" w:color="auto"/>
            </w:tcBorders>
            <w:vAlign w:val="center"/>
          </w:tcPr>
          <w:p w14:paraId="51EF3E9C"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9058.28</w:t>
            </w:r>
          </w:p>
        </w:tc>
        <w:tc>
          <w:tcPr>
            <w:tcW w:w="1275" w:type="dxa"/>
            <w:tcBorders>
              <w:top w:val="single" w:sz="6" w:space="0" w:color="auto"/>
              <w:left w:val="single" w:sz="6" w:space="0" w:color="auto"/>
              <w:bottom w:val="single" w:sz="6" w:space="0" w:color="auto"/>
              <w:right w:val="single" w:sz="6" w:space="0" w:color="auto"/>
            </w:tcBorders>
            <w:vAlign w:val="center"/>
          </w:tcPr>
          <w:p w14:paraId="6241CA53"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12987.72</w:t>
            </w:r>
          </w:p>
        </w:tc>
        <w:tc>
          <w:tcPr>
            <w:tcW w:w="1134" w:type="dxa"/>
            <w:tcBorders>
              <w:top w:val="single" w:sz="6" w:space="0" w:color="auto"/>
              <w:left w:val="single" w:sz="6" w:space="0" w:color="auto"/>
              <w:bottom w:val="single" w:sz="6" w:space="0" w:color="auto"/>
              <w:right w:val="single" w:sz="6" w:space="0" w:color="auto"/>
            </w:tcBorders>
            <w:vAlign w:val="center"/>
          </w:tcPr>
          <w:p w14:paraId="10FBC253"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19863.31</w:t>
            </w:r>
          </w:p>
        </w:tc>
        <w:tc>
          <w:tcPr>
            <w:tcW w:w="1701" w:type="dxa"/>
            <w:tcBorders>
              <w:top w:val="single" w:sz="6" w:space="0" w:color="auto"/>
              <w:left w:val="single" w:sz="6" w:space="0" w:color="auto"/>
              <w:bottom w:val="single" w:sz="6" w:space="0" w:color="auto"/>
              <w:right w:val="single" w:sz="6" w:space="0" w:color="auto"/>
            </w:tcBorders>
            <w:vAlign w:val="center"/>
          </w:tcPr>
          <w:p w14:paraId="255A9A68"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52.94%</w:t>
            </w:r>
          </w:p>
        </w:tc>
      </w:tr>
      <w:tr w:rsidR="00463F80" w:rsidRPr="00463F80" w14:paraId="15662573" w14:textId="77777777" w:rsidTr="00350976">
        <w:trPr>
          <w:gridAfter w:val="1"/>
          <w:wAfter w:w="1429" w:type="dxa"/>
          <w:trHeight w:val="408"/>
        </w:trPr>
        <w:tc>
          <w:tcPr>
            <w:tcW w:w="2977" w:type="dxa"/>
            <w:tcBorders>
              <w:top w:val="single" w:sz="6" w:space="0" w:color="auto"/>
              <w:left w:val="single" w:sz="6" w:space="0" w:color="auto"/>
              <w:bottom w:val="single" w:sz="6" w:space="0" w:color="auto"/>
              <w:right w:val="single" w:sz="4" w:space="0" w:color="auto"/>
            </w:tcBorders>
            <w:tcMar>
              <w:top w:w="20" w:type="dxa"/>
              <w:left w:w="20" w:type="dxa"/>
              <w:bottom w:w="0" w:type="dxa"/>
              <w:right w:w="20" w:type="dxa"/>
            </w:tcMar>
            <w:vAlign w:val="center"/>
          </w:tcPr>
          <w:p w14:paraId="4AA563FC"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商品服务支出</w:t>
            </w:r>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45F99F07"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5560.98</w:t>
            </w:r>
          </w:p>
        </w:tc>
        <w:tc>
          <w:tcPr>
            <w:tcW w:w="1276" w:type="dxa"/>
            <w:tcBorders>
              <w:top w:val="single" w:sz="6" w:space="0" w:color="auto"/>
              <w:left w:val="single" w:sz="6" w:space="0" w:color="auto"/>
              <w:bottom w:val="single" w:sz="6" w:space="0" w:color="auto"/>
              <w:right w:val="single" w:sz="6" w:space="0" w:color="auto"/>
            </w:tcBorders>
            <w:vAlign w:val="center"/>
          </w:tcPr>
          <w:p w14:paraId="14569947"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6473.92</w:t>
            </w:r>
          </w:p>
        </w:tc>
        <w:tc>
          <w:tcPr>
            <w:tcW w:w="1275" w:type="dxa"/>
            <w:tcBorders>
              <w:top w:val="single" w:sz="6" w:space="0" w:color="auto"/>
              <w:left w:val="single" w:sz="6" w:space="0" w:color="auto"/>
              <w:bottom w:val="single" w:sz="6" w:space="0" w:color="auto"/>
              <w:right w:val="single" w:sz="6" w:space="0" w:color="auto"/>
            </w:tcBorders>
            <w:vAlign w:val="center"/>
          </w:tcPr>
          <w:p w14:paraId="5942E214"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7545.58</w:t>
            </w:r>
          </w:p>
        </w:tc>
        <w:tc>
          <w:tcPr>
            <w:tcW w:w="1134" w:type="dxa"/>
            <w:tcBorders>
              <w:top w:val="single" w:sz="6" w:space="0" w:color="auto"/>
              <w:left w:val="single" w:sz="6" w:space="0" w:color="auto"/>
              <w:bottom w:val="single" w:sz="6" w:space="0" w:color="auto"/>
              <w:right w:val="single" w:sz="6" w:space="0" w:color="auto"/>
            </w:tcBorders>
            <w:vAlign w:val="center"/>
          </w:tcPr>
          <w:p w14:paraId="75E7F653"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7660.41</w:t>
            </w:r>
          </w:p>
        </w:tc>
        <w:tc>
          <w:tcPr>
            <w:tcW w:w="1701" w:type="dxa"/>
            <w:tcBorders>
              <w:top w:val="single" w:sz="6" w:space="0" w:color="auto"/>
              <w:left w:val="single" w:sz="6" w:space="0" w:color="auto"/>
              <w:bottom w:val="single" w:sz="6" w:space="0" w:color="auto"/>
              <w:right w:val="single" w:sz="6" w:space="0" w:color="auto"/>
            </w:tcBorders>
            <w:vAlign w:val="center"/>
          </w:tcPr>
          <w:p w14:paraId="5EE1BEEB"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1.54%</w:t>
            </w:r>
          </w:p>
        </w:tc>
      </w:tr>
      <w:tr w:rsidR="00463F80" w:rsidRPr="00463F80" w14:paraId="131C163A" w14:textId="77777777" w:rsidTr="00350976">
        <w:trPr>
          <w:gridAfter w:val="1"/>
          <w:wAfter w:w="1429" w:type="dxa"/>
          <w:trHeight w:val="408"/>
        </w:trPr>
        <w:tc>
          <w:tcPr>
            <w:tcW w:w="2977" w:type="dxa"/>
            <w:tcBorders>
              <w:top w:val="single" w:sz="6" w:space="0" w:color="auto"/>
              <w:left w:val="single" w:sz="6" w:space="0" w:color="auto"/>
              <w:bottom w:val="single" w:sz="6" w:space="0" w:color="auto"/>
              <w:right w:val="single" w:sz="4" w:space="0" w:color="auto"/>
            </w:tcBorders>
            <w:tcMar>
              <w:top w:w="20" w:type="dxa"/>
              <w:left w:w="20" w:type="dxa"/>
              <w:bottom w:w="0" w:type="dxa"/>
              <w:right w:w="20" w:type="dxa"/>
            </w:tcMar>
            <w:vAlign w:val="center"/>
          </w:tcPr>
          <w:p w14:paraId="0AB76BB8"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对个人和家庭补助支出</w:t>
            </w:r>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39AC3B80"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3602.13</w:t>
            </w:r>
          </w:p>
        </w:tc>
        <w:tc>
          <w:tcPr>
            <w:tcW w:w="1276" w:type="dxa"/>
            <w:tcBorders>
              <w:top w:val="single" w:sz="6" w:space="0" w:color="auto"/>
              <w:left w:val="single" w:sz="6" w:space="0" w:color="auto"/>
              <w:bottom w:val="single" w:sz="6" w:space="0" w:color="auto"/>
              <w:right w:val="single" w:sz="6" w:space="0" w:color="auto"/>
            </w:tcBorders>
            <w:vAlign w:val="center"/>
          </w:tcPr>
          <w:p w14:paraId="1F73662F"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5190.77</w:t>
            </w:r>
          </w:p>
        </w:tc>
        <w:tc>
          <w:tcPr>
            <w:tcW w:w="1275" w:type="dxa"/>
            <w:tcBorders>
              <w:top w:val="single" w:sz="6" w:space="0" w:color="auto"/>
              <w:left w:val="single" w:sz="6" w:space="0" w:color="auto"/>
              <w:bottom w:val="single" w:sz="6" w:space="0" w:color="auto"/>
              <w:right w:val="single" w:sz="6" w:space="0" w:color="auto"/>
            </w:tcBorders>
            <w:vAlign w:val="center"/>
          </w:tcPr>
          <w:p w14:paraId="2923D3E5"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3232.80</w:t>
            </w:r>
          </w:p>
        </w:tc>
        <w:tc>
          <w:tcPr>
            <w:tcW w:w="1134" w:type="dxa"/>
            <w:tcBorders>
              <w:top w:val="single" w:sz="6" w:space="0" w:color="auto"/>
              <w:left w:val="single" w:sz="6" w:space="0" w:color="auto"/>
              <w:bottom w:val="single" w:sz="6" w:space="0" w:color="auto"/>
              <w:right w:val="single" w:sz="6" w:space="0" w:color="auto"/>
            </w:tcBorders>
            <w:vAlign w:val="center"/>
          </w:tcPr>
          <w:p w14:paraId="5E84C238"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3030.29</w:t>
            </w:r>
          </w:p>
        </w:tc>
        <w:tc>
          <w:tcPr>
            <w:tcW w:w="1701" w:type="dxa"/>
            <w:tcBorders>
              <w:top w:val="single" w:sz="6" w:space="0" w:color="auto"/>
              <w:left w:val="single" w:sz="6" w:space="0" w:color="auto"/>
              <w:bottom w:val="single" w:sz="6" w:space="0" w:color="auto"/>
              <w:right w:val="single" w:sz="6" w:space="0" w:color="auto"/>
            </w:tcBorders>
            <w:vAlign w:val="center"/>
          </w:tcPr>
          <w:p w14:paraId="261BC9DE"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-6.26%</w:t>
            </w:r>
          </w:p>
        </w:tc>
      </w:tr>
      <w:tr w:rsidR="00463F80" w:rsidRPr="00463F80" w14:paraId="77DC1A44" w14:textId="77777777" w:rsidTr="00350976">
        <w:trPr>
          <w:gridAfter w:val="1"/>
          <w:wAfter w:w="1429" w:type="dxa"/>
          <w:trHeight w:val="408"/>
        </w:trPr>
        <w:tc>
          <w:tcPr>
            <w:tcW w:w="2977" w:type="dxa"/>
            <w:tcBorders>
              <w:top w:val="single" w:sz="6" w:space="0" w:color="auto"/>
              <w:left w:val="single" w:sz="6" w:space="0" w:color="auto"/>
              <w:bottom w:val="single" w:sz="6" w:space="0" w:color="auto"/>
              <w:right w:val="single" w:sz="4" w:space="0" w:color="auto"/>
            </w:tcBorders>
            <w:tcMar>
              <w:top w:w="20" w:type="dxa"/>
              <w:left w:w="20" w:type="dxa"/>
              <w:bottom w:w="0" w:type="dxa"/>
              <w:right w:w="20" w:type="dxa"/>
            </w:tcMar>
            <w:vAlign w:val="center"/>
          </w:tcPr>
          <w:p w14:paraId="378D7AF9" w14:textId="77777777" w:rsidR="00F85FAE" w:rsidRPr="00463F80" w:rsidRDefault="00F85FAE" w:rsidP="00F85FAE">
            <w:pPr>
              <w:spacing w:line="240" w:lineRule="atLeast"/>
              <w:ind w:firstLineChars="0" w:firstLine="0"/>
              <w:jc w:val="center"/>
              <w:rPr>
                <w:rFonts w:ascii="仿宋_GB2312" w:eastAsia="仿宋_GB2312" w:hAnsi="宋体"/>
                <w:bCs/>
                <w:sz w:val="24"/>
              </w:rPr>
            </w:pPr>
            <w:bookmarkStart w:id="27" w:name="_Hlk40954634"/>
            <w:bookmarkEnd w:id="26"/>
            <w:r w:rsidRPr="00463F80">
              <w:rPr>
                <w:rFonts w:ascii="仿宋_GB2312" w:eastAsia="仿宋_GB2312" w:hAnsi="宋体" w:hint="eastAsia"/>
                <w:bCs/>
                <w:sz w:val="24"/>
              </w:rPr>
              <w:t>债务利息支出</w:t>
            </w:r>
            <w:bookmarkEnd w:id="27"/>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49B37C5F"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1837.41</w:t>
            </w:r>
          </w:p>
        </w:tc>
        <w:tc>
          <w:tcPr>
            <w:tcW w:w="1276" w:type="dxa"/>
            <w:tcBorders>
              <w:top w:val="single" w:sz="6" w:space="0" w:color="auto"/>
              <w:left w:val="single" w:sz="6" w:space="0" w:color="auto"/>
              <w:bottom w:val="single" w:sz="6" w:space="0" w:color="auto"/>
              <w:right w:val="single" w:sz="6" w:space="0" w:color="auto"/>
            </w:tcBorders>
            <w:vAlign w:val="center"/>
          </w:tcPr>
          <w:p w14:paraId="05B72128"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1517.35</w:t>
            </w:r>
          </w:p>
        </w:tc>
        <w:tc>
          <w:tcPr>
            <w:tcW w:w="1275" w:type="dxa"/>
            <w:tcBorders>
              <w:top w:val="single" w:sz="6" w:space="0" w:color="auto"/>
              <w:left w:val="single" w:sz="6" w:space="0" w:color="auto"/>
              <w:bottom w:val="single" w:sz="6" w:space="0" w:color="auto"/>
              <w:right w:val="single" w:sz="6" w:space="0" w:color="auto"/>
            </w:tcBorders>
            <w:vAlign w:val="center"/>
          </w:tcPr>
          <w:p w14:paraId="5D7FAA6F"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1471.40</w:t>
            </w:r>
          </w:p>
        </w:tc>
        <w:tc>
          <w:tcPr>
            <w:tcW w:w="1134" w:type="dxa"/>
            <w:tcBorders>
              <w:top w:val="single" w:sz="6" w:space="0" w:color="auto"/>
              <w:left w:val="single" w:sz="6" w:space="0" w:color="auto"/>
              <w:bottom w:val="single" w:sz="6" w:space="0" w:color="auto"/>
              <w:right w:val="single" w:sz="6" w:space="0" w:color="auto"/>
            </w:tcBorders>
            <w:vAlign w:val="center"/>
          </w:tcPr>
          <w:p w14:paraId="05BA594B" w14:textId="77777777" w:rsidR="00F85FAE" w:rsidRPr="00463F80" w:rsidRDefault="00F85FAE" w:rsidP="00350976">
            <w:pPr>
              <w:ind w:firstLineChars="0" w:firstLine="0"/>
              <w:jc w:val="center"/>
              <w:rPr>
                <w:rFonts w:ascii="仿宋_GB2312" w:eastAsia="仿宋_GB2312" w:hAnsi="宋体"/>
                <w:bCs/>
                <w:sz w:val="24"/>
              </w:rPr>
            </w:pPr>
            <w:r w:rsidRPr="00463F80">
              <w:rPr>
                <w:rFonts w:ascii="仿宋_GB2312" w:eastAsia="仿宋_GB2312" w:hAnsi="宋体" w:hint="eastAsia"/>
                <w:bCs/>
                <w:sz w:val="24"/>
              </w:rPr>
              <w:t>913.23</w:t>
            </w:r>
          </w:p>
        </w:tc>
        <w:tc>
          <w:tcPr>
            <w:tcW w:w="1701" w:type="dxa"/>
            <w:tcBorders>
              <w:top w:val="single" w:sz="6" w:space="0" w:color="auto"/>
              <w:left w:val="single" w:sz="6" w:space="0" w:color="auto"/>
              <w:bottom w:val="single" w:sz="6" w:space="0" w:color="auto"/>
              <w:right w:val="single" w:sz="6" w:space="0" w:color="auto"/>
            </w:tcBorders>
            <w:vAlign w:val="center"/>
          </w:tcPr>
          <w:p w14:paraId="5900341D"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w:t>
            </w:r>
            <w:bookmarkStart w:id="28" w:name="_Hlk40963666"/>
            <w:r w:rsidRPr="00463F80">
              <w:rPr>
                <w:rFonts w:ascii="仿宋_GB2312" w:eastAsia="仿宋_GB2312" w:hAnsi="宋体" w:hint="eastAsia"/>
                <w:bCs/>
                <w:sz w:val="24"/>
              </w:rPr>
              <w:t>37.93%</w:t>
            </w:r>
            <w:bookmarkEnd w:id="28"/>
          </w:p>
        </w:tc>
      </w:tr>
      <w:tr w:rsidR="00463F80" w:rsidRPr="00463F80" w14:paraId="6914C348" w14:textId="77777777" w:rsidTr="00350976">
        <w:trPr>
          <w:gridAfter w:val="1"/>
          <w:wAfter w:w="1429" w:type="dxa"/>
          <w:trHeight w:val="408"/>
        </w:trPr>
        <w:tc>
          <w:tcPr>
            <w:tcW w:w="2977" w:type="dxa"/>
            <w:tcBorders>
              <w:top w:val="single" w:sz="6" w:space="0" w:color="auto"/>
              <w:left w:val="single" w:sz="6" w:space="0" w:color="auto"/>
              <w:bottom w:val="single" w:sz="6" w:space="0" w:color="auto"/>
              <w:right w:val="single" w:sz="4" w:space="0" w:color="auto"/>
            </w:tcBorders>
            <w:tcMar>
              <w:top w:w="20" w:type="dxa"/>
              <w:left w:w="20" w:type="dxa"/>
              <w:bottom w:w="0" w:type="dxa"/>
              <w:right w:w="20" w:type="dxa"/>
            </w:tcMar>
            <w:vAlign w:val="center"/>
          </w:tcPr>
          <w:p w14:paraId="51E8ABD2" w14:textId="77777777" w:rsidR="00F85FAE" w:rsidRPr="00463F80" w:rsidRDefault="00F85FAE" w:rsidP="00F85FAE">
            <w:pPr>
              <w:spacing w:line="240" w:lineRule="atLeast"/>
              <w:ind w:firstLineChars="0" w:firstLine="0"/>
              <w:jc w:val="center"/>
              <w:rPr>
                <w:rFonts w:ascii="仿宋_GB2312" w:eastAsia="仿宋_GB2312" w:hAnsi="宋体"/>
                <w:bCs/>
                <w:sz w:val="24"/>
              </w:rPr>
            </w:pPr>
            <w:bookmarkStart w:id="29" w:name="_Hlk40954649"/>
            <w:r w:rsidRPr="00463F80">
              <w:rPr>
                <w:rFonts w:ascii="仿宋_GB2312" w:eastAsia="仿宋_GB2312" w:hAnsi="宋体" w:hint="eastAsia"/>
                <w:bCs/>
                <w:sz w:val="24"/>
              </w:rPr>
              <w:t>债务还本支出</w:t>
            </w:r>
            <w:bookmarkEnd w:id="29"/>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66148090"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1300</w:t>
            </w:r>
          </w:p>
        </w:tc>
        <w:tc>
          <w:tcPr>
            <w:tcW w:w="1276" w:type="dxa"/>
            <w:tcBorders>
              <w:top w:val="single" w:sz="6" w:space="0" w:color="auto"/>
              <w:left w:val="single" w:sz="6" w:space="0" w:color="auto"/>
              <w:bottom w:val="single" w:sz="6" w:space="0" w:color="auto"/>
              <w:right w:val="single" w:sz="6" w:space="0" w:color="auto"/>
            </w:tcBorders>
            <w:vAlign w:val="center"/>
          </w:tcPr>
          <w:p w14:paraId="3B94F605"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5050</w:t>
            </w:r>
          </w:p>
        </w:tc>
        <w:tc>
          <w:tcPr>
            <w:tcW w:w="1275" w:type="dxa"/>
            <w:tcBorders>
              <w:top w:val="single" w:sz="6" w:space="0" w:color="auto"/>
              <w:left w:val="single" w:sz="6" w:space="0" w:color="auto"/>
              <w:bottom w:val="single" w:sz="6" w:space="0" w:color="auto"/>
              <w:right w:val="single" w:sz="6" w:space="0" w:color="auto"/>
            </w:tcBorders>
            <w:vAlign w:val="center"/>
          </w:tcPr>
          <w:p w14:paraId="5CAEF242"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500</w:t>
            </w:r>
          </w:p>
        </w:tc>
        <w:tc>
          <w:tcPr>
            <w:tcW w:w="1134" w:type="dxa"/>
            <w:tcBorders>
              <w:top w:val="single" w:sz="6" w:space="0" w:color="auto"/>
              <w:left w:val="single" w:sz="6" w:space="0" w:color="auto"/>
              <w:bottom w:val="single" w:sz="6" w:space="0" w:color="auto"/>
              <w:right w:val="single" w:sz="6" w:space="0" w:color="auto"/>
            </w:tcBorders>
            <w:vAlign w:val="center"/>
          </w:tcPr>
          <w:p w14:paraId="3E90C304" w14:textId="77777777" w:rsidR="00F85FAE" w:rsidRPr="00463F80" w:rsidRDefault="00F85FAE" w:rsidP="00350976">
            <w:pPr>
              <w:ind w:firstLineChars="0" w:firstLine="0"/>
              <w:jc w:val="center"/>
              <w:rPr>
                <w:rFonts w:ascii="仿宋_GB2312" w:eastAsia="仿宋_GB2312" w:hAnsi="宋体"/>
                <w:bCs/>
                <w:sz w:val="24"/>
              </w:rPr>
            </w:pPr>
            <w:r w:rsidRPr="00463F80">
              <w:rPr>
                <w:rFonts w:ascii="仿宋_GB2312" w:eastAsia="仿宋_GB2312" w:hAnsi="宋体" w:hint="eastAsia"/>
                <w:bCs/>
                <w:sz w:val="24"/>
              </w:rPr>
              <w:t>1000</w:t>
            </w:r>
          </w:p>
        </w:tc>
        <w:tc>
          <w:tcPr>
            <w:tcW w:w="1701" w:type="dxa"/>
            <w:tcBorders>
              <w:top w:val="single" w:sz="6" w:space="0" w:color="auto"/>
              <w:left w:val="single" w:sz="6" w:space="0" w:color="auto"/>
              <w:bottom w:val="single" w:sz="6" w:space="0" w:color="auto"/>
              <w:right w:val="single" w:sz="6" w:space="0" w:color="auto"/>
            </w:tcBorders>
            <w:vAlign w:val="center"/>
          </w:tcPr>
          <w:p w14:paraId="52963FA7"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100%</w:t>
            </w:r>
          </w:p>
        </w:tc>
      </w:tr>
      <w:tr w:rsidR="00463F80" w:rsidRPr="00463F80" w14:paraId="762AB7C9" w14:textId="77777777" w:rsidTr="00350976">
        <w:trPr>
          <w:trHeight w:val="408"/>
        </w:trPr>
        <w:tc>
          <w:tcPr>
            <w:tcW w:w="2977" w:type="dxa"/>
            <w:tcBorders>
              <w:top w:val="single" w:sz="6"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C948449"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其他资本性支出</w:t>
            </w:r>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48A3CA46"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4853.08</w:t>
            </w:r>
          </w:p>
        </w:tc>
        <w:tc>
          <w:tcPr>
            <w:tcW w:w="1276" w:type="dxa"/>
            <w:tcBorders>
              <w:top w:val="single" w:sz="6" w:space="0" w:color="auto"/>
              <w:left w:val="single" w:sz="6" w:space="0" w:color="auto"/>
              <w:bottom w:val="single" w:sz="6" w:space="0" w:color="auto"/>
              <w:right w:val="single" w:sz="6" w:space="0" w:color="auto"/>
            </w:tcBorders>
            <w:vAlign w:val="center"/>
          </w:tcPr>
          <w:p w14:paraId="4E93AC88"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6776.43</w:t>
            </w:r>
          </w:p>
        </w:tc>
        <w:tc>
          <w:tcPr>
            <w:tcW w:w="1275" w:type="dxa"/>
            <w:tcBorders>
              <w:top w:val="single" w:sz="6" w:space="0" w:color="auto"/>
              <w:left w:val="single" w:sz="6" w:space="0" w:color="auto"/>
              <w:bottom w:val="single" w:sz="6" w:space="0" w:color="auto"/>
              <w:right w:val="single" w:sz="6" w:space="0" w:color="auto"/>
            </w:tcBorders>
            <w:vAlign w:val="center"/>
          </w:tcPr>
          <w:p w14:paraId="124EB3BA"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5515.28</w:t>
            </w:r>
          </w:p>
        </w:tc>
        <w:tc>
          <w:tcPr>
            <w:tcW w:w="1134" w:type="dxa"/>
            <w:tcBorders>
              <w:top w:val="single" w:sz="6" w:space="0" w:color="auto"/>
              <w:left w:val="single" w:sz="6" w:space="0" w:color="auto"/>
              <w:bottom w:val="single" w:sz="6" w:space="0" w:color="auto"/>
              <w:right w:val="single" w:sz="6" w:space="0" w:color="auto"/>
            </w:tcBorders>
            <w:vAlign w:val="center"/>
          </w:tcPr>
          <w:p w14:paraId="7051A3A2" w14:textId="77777777" w:rsidR="00F85FAE" w:rsidRPr="00463F80" w:rsidRDefault="00F85FAE" w:rsidP="00350976">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6061.79</w:t>
            </w:r>
          </w:p>
        </w:tc>
        <w:tc>
          <w:tcPr>
            <w:tcW w:w="1701" w:type="dxa"/>
            <w:tcBorders>
              <w:top w:val="single" w:sz="6" w:space="0" w:color="auto"/>
              <w:bottom w:val="single" w:sz="6" w:space="0" w:color="auto"/>
              <w:right w:val="single" w:sz="6" w:space="0" w:color="auto"/>
            </w:tcBorders>
            <w:vAlign w:val="center"/>
          </w:tcPr>
          <w:p w14:paraId="06FF7F7B"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9%</w:t>
            </w:r>
          </w:p>
        </w:tc>
        <w:tc>
          <w:tcPr>
            <w:tcW w:w="1429" w:type="dxa"/>
            <w:tcBorders>
              <w:left w:val="single" w:sz="6" w:space="0" w:color="auto"/>
            </w:tcBorders>
            <w:vAlign w:val="center"/>
          </w:tcPr>
          <w:p w14:paraId="12CA4E4E" w14:textId="77777777" w:rsidR="00F85FAE" w:rsidRPr="00463F80" w:rsidRDefault="00F85FAE" w:rsidP="00F85FAE">
            <w:pPr>
              <w:ind w:firstLine="480"/>
              <w:rPr>
                <w:rFonts w:ascii="仿宋_GB2312" w:eastAsia="仿宋_GB2312" w:hAnsi="宋体" w:cs="宋体"/>
                <w:kern w:val="0"/>
                <w:sz w:val="24"/>
              </w:rPr>
            </w:pPr>
          </w:p>
        </w:tc>
      </w:tr>
      <w:tr w:rsidR="00463F80" w:rsidRPr="00463F80" w14:paraId="6A1FAB53" w14:textId="77777777" w:rsidTr="00350976">
        <w:trPr>
          <w:trHeight w:val="408"/>
        </w:trPr>
        <w:tc>
          <w:tcPr>
            <w:tcW w:w="2977" w:type="dxa"/>
            <w:tcBorders>
              <w:top w:val="single" w:sz="6"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FD995B9"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其中：基建支出</w:t>
            </w:r>
          </w:p>
          <w:p w14:paraId="3951D637"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（不含还贷支出）</w:t>
            </w:r>
          </w:p>
        </w:tc>
        <w:tc>
          <w:tcPr>
            <w:tcW w:w="1248" w:type="dxa"/>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1393C710"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2909.85</w:t>
            </w:r>
          </w:p>
        </w:tc>
        <w:tc>
          <w:tcPr>
            <w:tcW w:w="1276" w:type="dxa"/>
            <w:tcBorders>
              <w:top w:val="single" w:sz="6" w:space="0" w:color="auto"/>
              <w:left w:val="single" w:sz="6" w:space="0" w:color="auto"/>
              <w:bottom w:val="single" w:sz="6" w:space="0" w:color="auto"/>
              <w:right w:val="single" w:sz="6" w:space="0" w:color="auto"/>
            </w:tcBorders>
            <w:vAlign w:val="center"/>
          </w:tcPr>
          <w:p w14:paraId="27486471"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2376.44</w:t>
            </w:r>
          </w:p>
        </w:tc>
        <w:tc>
          <w:tcPr>
            <w:tcW w:w="1275" w:type="dxa"/>
            <w:tcBorders>
              <w:top w:val="single" w:sz="6" w:space="0" w:color="auto"/>
              <w:left w:val="single" w:sz="6" w:space="0" w:color="auto"/>
              <w:bottom w:val="single" w:sz="6" w:space="0" w:color="auto"/>
              <w:right w:val="single" w:sz="6" w:space="0" w:color="auto"/>
            </w:tcBorders>
            <w:vAlign w:val="center"/>
          </w:tcPr>
          <w:p w14:paraId="1F41FC4C"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2014.07</w:t>
            </w:r>
          </w:p>
        </w:tc>
        <w:tc>
          <w:tcPr>
            <w:tcW w:w="1134" w:type="dxa"/>
            <w:tcBorders>
              <w:top w:val="single" w:sz="6" w:space="0" w:color="auto"/>
              <w:left w:val="single" w:sz="6" w:space="0" w:color="auto"/>
              <w:bottom w:val="single" w:sz="6" w:space="0" w:color="auto"/>
              <w:right w:val="single" w:sz="6" w:space="0" w:color="auto"/>
            </w:tcBorders>
          </w:tcPr>
          <w:p w14:paraId="4178C0C2" w14:textId="77777777" w:rsidR="00F85FAE" w:rsidRPr="00463F80" w:rsidRDefault="00F85FAE" w:rsidP="00350976">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2686.77</w:t>
            </w:r>
          </w:p>
        </w:tc>
        <w:tc>
          <w:tcPr>
            <w:tcW w:w="1701" w:type="dxa"/>
            <w:tcBorders>
              <w:top w:val="single" w:sz="6" w:space="0" w:color="auto"/>
              <w:bottom w:val="single" w:sz="6" w:space="0" w:color="auto"/>
              <w:right w:val="single" w:sz="6" w:space="0" w:color="auto"/>
            </w:tcBorders>
          </w:tcPr>
          <w:p w14:paraId="5087A173"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6.87%</w:t>
            </w:r>
          </w:p>
        </w:tc>
        <w:tc>
          <w:tcPr>
            <w:tcW w:w="1429" w:type="dxa"/>
            <w:tcBorders>
              <w:left w:val="single" w:sz="6" w:space="0" w:color="auto"/>
            </w:tcBorders>
            <w:vAlign w:val="center"/>
          </w:tcPr>
          <w:p w14:paraId="7E49A3D9" w14:textId="77777777" w:rsidR="00F85FAE" w:rsidRPr="00463F80" w:rsidRDefault="00F85FAE" w:rsidP="00F85FAE">
            <w:pPr>
              <w:ind w:firstLine="440"/>
              <w:rPr>
                <w:rFonts w:ascii="仿宋_GB2312" w:eastAsia="仿宋_GB2312" w:hAnsi="宋体" w:cs="Arial Unicode MS"/>
                <w:sz w:val="22"/>
                <w:szCs w:val="21"/>
              </w:rPr>
            </w:pPr>
          </w:p>
        </w:tc>
      </w:tr>
      <w:tr w:rsidR="00463F80" w:rsidRPr="00463F80" w14:paraId="36802869" w14:textId="77777777" w:rsidTr="00350976">
        <w:trPr>
          <w:trHeight w:val="391"/>
        </w:trPr>
        <w:tc>
          <w:tcPr>
            <w:tcW w:w="297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BFC73C8"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总 计</w:t>
            </w:r>
          </w:p>
        </w:tc>
        <w:tc>
          <w:tcPr>
            <w:tcW w:w="1248" w:type="dxa"/>
            <w:tcBorders>
              <w:top w:val="single" w:sz="6"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14:paraId="7EF29752"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24415.39</w:t>
            </w:r>
          </w:p>
        </w:tc>
        <w:tc>
          <w:tcPr>
            <w:tcW w:w="1276" w:type="dxa"/>
            <w:tcBorders>
              <w:top w:val="single" w:sz="6" w:space="0" w:color="auto"/>
              <w:left w:val="single" w:sz="6" w:space="0" w:color="auto"/>
              <w:bottom w:val="single" w:sz="4" w:space="0" w:color="auto"/>
              <w:right w:val="single" w:sz="6" w:space="0" w:color="auto"/>
            </w:tcBorders>
            <w:vAlign w:val="center"/>
          </w:tcPr>
          <w:p w14:paraId="3BA4128F"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34066.75</w:t>
            </w:r>
          </w:p>
        </w:tc>
        <w:tc>
          <w:tcPr>
            <w:tcW w:w="1275" w:type="dxa"/>
            <w:tcBorders>
              <w:top w:val="single" w:sz="6" w:space="0" w:color="auto"/>
              <w:left w:val="single" w:sz="6" w:space="0" w:color="auto"/>
              <w:bottom w:val="single" w:sz="4" w:space="0" w:color="auto"/>
              <w:right w:val="single" w:sz="6" w:space="0" w:color="auto"/>
            </w:tcBorders>
            <w:vAlign w:val="center"/>
          </w:tcPr>
          <w:p w14:paraId="2068D5D6" w14:textId="77777777" w:rsidR="00F85FAE" w:rsidRPr="00463F80" w:rsidRDefault="00F85FAE" w:rsidP="00F85FAE">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31252.78</w:t>
            </w:r>
          </w:p>
        </w:tc>
        <w:tc>
          <w:tcPr>
            <w:tcW w:w="1134" w:type="dxa"/>
            <w:tcBorders>
              <w:top w:val="single" w:sz="6" w:space="0" w:color="auto"/>
              <w:left w:val="single" w:sz="6" w:space="0" w:color="auto"/>
              <w:bottom w:val="single" w:sz="4" w:space="0" w:color="auto"/>
              <w:right w:val="single" w:sz="6" w:space="0" w:color="auto"/>
            </w:tcBorders>
          </w:tcPr>
          <w:p w14:paraId="70E03D12" w14:textId="77777777" w:rsidR="00F85FAE" w:rsidRPr="00463F80" w:rsidRDefault="00F85FAE" w:rsidP="00350976">
            <w:pPr>
              <w:spacing w:line="240" w:lineRule="atLeast"/>
              <w:ind w:firstLineChars="0" w:firstLine="0"/>
              <w:jc w:val="center"/>
              <w:rPr>
                <w:rFonts w:ascii="仿宋_GB2312" w:eastAsia="仿宋_GB2312" w:hAnsi="宋体"/>
                <w:bCs/>
                <w:sz w:val="24"/>
              </w:rPr>
            </w:pPr>
            <w:r w:rsidRPr="00463F80">
              <w:rPr>
                <w:rFonts w:ascii="仿宋_GB2312" w:eastAsia="仿宋_GB2312" w:hAnsi="宋体" w:hint="eastAsia"/>
                <w:bCs/>
                <w:sz w:val="24"/>
              </w:rPr>
              <w:t>38529.03</w:t>
            </w:r>
          </w:p>
        </w:tc>
        <w:tc>
          <w:tcPr>
            <w:tcW w:w="1701" w:type="dxa"/>
            <w:tcBorders>
              <w:top w:val="single" w:sz="6" w:space="0" w:color="auto"/>
              <w:bottom w:val="single" w:sz="6" w:space="0" w:color="auto"/>
              <w:right w:val="single" w:sz="6" w:space="0" w:color="auto"/>
            </w:tcBorders>
          </w:tcPr>
          <w:p w14:paraId="6593BC92" w14:textId="77777777" w:rsidR="00F85FAE" w:rsidRPr="00463F80" w:rsidRDefault="00F85FAE" w:rsidP="00F85FAE">
            <w:pPr>
              <w:ind w:firstLineChars="0" w:firstLine="0"/>
              <w:jc w:val="center"/>
              <w:rPr>
                <w:rFonts w:ascii="仿宋_GB2312" w:eastAsia="仿宋_GB2312" w:hAnsi="宋体"/>
                <w:bCs/>
                <w:sz w:val="24"/>
              </w:rPr>
            </w:pPr>
            <w:r w:rsidRPr="00463F80">
              <w:rPr>
                <w:rFonts w:ascii="仿宋_GB2312" w:eastAsia="仿宋_GB2312" w:hAnsi="宋体" w:hint="eastAsia"/>
                <w:bCs/>
                <w:sz w:val="24"/>
              </w:rPr>
              <w:t>23.28%</w:t>
            </w:r>
          </w:p>
        </w:tc>
        <w:tc>
          <w:tcPr>
            <w:tcW w:w="1429" w:type="dxa"/>
            <w:tcBorders>
              <w:left w:val="single" w:sz="6" w:space="0" w:color="auto"/>
            </w:tcBorders>
            <w:vAlign w:val="center"/>
          </w:tcPr>
          <w:p w14:paraId="6FB60F91" w14:textId="77777777" w:rsidR="00F85FAE" w:rsidRPr="00463F80" w:rsidRDefault="00F85FAE" w:rsidP="00F85FAE">
            <w:pPr>
              <w:ind w:firstLine="482"/>
              <w:rPr>
                <w:rFonts w:ascii="仿宋_GB2312" w:eastAsia="仿宋_GB2312" w:hAnsi="宋体" w:cs="宋体"/>
                <w:b/>
                <w:bCs/>
                <w:kern w:val="0"/>
                <w:sz w:val="24"/>
              </w:rPr>
            </w:pPr>
          </w:p>
        </w:tc>
      </w:tr>
    </w:tbl>
    <w:p w14:paraId="6436CA91" w14:textId="77777777" w:rsidR="00F85FAE" w:rsidRPr="00463F80" w:rsidRDefault="00F85FAE" w:rsidP="0066256F">
      <w:pPr>
        <w:ind w:firstLine="640"/>
        <w:jc w:val="center"/>
        <w:rPr>
          <w:rFonts w:ascii="仿宋_GB2312" w:eastAsia="仿宋_GB2312" w:hAnsi="宋体"/>
          <w:sz w:val="32"/>
          <w:szCs w:val="32"/>
        </w:rPr>
      </w:pPr>
    </w:p>
    <w:p w14:paraId="6A347A5A" w14:textId="55CC5428" w:rsidR="004C6C87" w:rsidRPr="00463F80" w:rsidRDefault="004C6C87" w:rsidP="0066256F">
      <w:pPr>
        <w:ind w:firstLine="640"/>
        <w:jc w:val="center"/>
        <w:rPr>
          <w:rFonts w:ascii="仿宋_GB2312" w:eastAsia="仿宋_GB2312" w:hAnsi="宋体"/>
          <w:sz w:val="32"/>
          <w:szCs w:val="32"/>
        </w:rPr>
      </w:pPr>
      <w:r w:rsidRPr="00463F80">
        <w:rPr>
          <w:rFonts w:ascii="仿宋_GB2312" w:eastAsia="仿宋_GB2312" w:hAnsi="宋体"/>
          <w:noProof/>
          <w:sz w:val="32"/>
          <w:szCs w:val="32"/>
        </w:rPr>
        <w:drawing>
          <wp:inline distT="0" distB="0" distL="0" distR="0" wp14:anchorId="0BB3B138" wp14:editId="5A9308FA">
            <wp:extent cx="5898515" cy="381000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8693" cy="3816574"/>
                    </a:xfrm>
                    <a:prstGeom prst="rect">
                      <a:avLst/>
                    </a:prstGeom>
                    <a:noFill/>
                    <a:ln>
                      <a:noFill/>
                    </a:ln>
                  </pic:spPr>
                </pic:pic>
              </a:graphicData>
            </a:graphic>
          </wp:inline>
        </w:drawing>
      </w:r>
    </w:p>
    <w:p w14:paraId="1AC56D9B" w14:textId="2A2E1942" w:rsidR="00C425E6" w:rsidRPr="00463F80" w:rsidRDefault="00C425E6" w:rsidP="0066256F">
      <w:pPr>
        <w:ind w:firstLine="562"/>
        <w:jc w:val="center"/>
        <w:rPr>
          <w:rFonts w:ascii="宋体" w:hAnsi="宋体"/>
          <w:b/>
          <w:sz w:val="28"/>
          <w:szCs w:val="28"/>
        </w:rPr>
      </w:pPr>
      <w:r w:rsidRPr="00463F80">
        <w:rPr>
          <w:rFonts w:ascii="宋体" w:hAnsi="宋体" w:hint="eastAsia"/>
          <w:b/>
          <w:sz w:val="28"/>
          <w:szCs w:val="28"/>
        </w:rPr>
        <w:t>图3</w:t>
      </w:r>
      <w:r w:rsidRPr="00463F80">
        <w:rPr>
          <w:rFonts w:ascii="宋体" w:hAnsi="宋体"/>
          <w:b/>
          <w:sz w:val="28"/>
          <w:szCs w:val="28"/>
        </w:rPr>
        <w:t xml:space="preserve">  </w:t>
      </w:r>
      <w:r w:rsidRPr="00463F80">
        <w:rPr>
          <w:rFonts w:ascii="宋体" w:hAnsi="宋体" w:hint="eastAsia"/>
          <w:b/>
          <w:sz w:val="28"/>
          <w:szCs w:val="28"/>
        </w:rPr>
        <w:t>支出经济分类趋势对比图</w:t>
      </w:r>
    </w:p>
    <w:p w14:paraId="5ECAEB9C" w14:textId="3731E487" w:rsidR="0048780F" w:rsidRPr="00463F80" w:rsidRDefault="00FB30CF" w:rsidP="009F65D9">
      <w:pPr>
        <w:pStyle w:val="2"/>
        <w:ind w:firstLine="643"/>
      </w:pPr>
      <w:bookmarkStart w:id="30" w:name="_Toc41904212"/>
      <w:r w:rsidRPr="00463F80">
        <w:rPr>
          <w:rFonts w:hint="eastAsia"/>
        </w:rPr>
        <w:t>四</w:t>
      </w:r>
      <w:r w:rsidR="009C7A21" w:rsidRPr="00463F80">
        <w:rPr>
          <w:rFonts w:hint="eastAsia"/>
        </w:rPr>
        <w:t>、</w:t>
      </w:r>
      <w:r w:rsidR="0043517D" w:rsidRPr="00463F80">
        <w:rPr>
          <w:rFonts w:hint="eastAsia"/>
        </w:rPr>
        <w:t>部门整体支出绩效管理存在问题及改进意见</w:t>
      </w:r>
      <w:bookmarkEnd w:id="30"/>
    </w:p>
    <w:p w14:paraId="005937CF" w14:textId="4D35C62C"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 xml:space="preserve">我校一直以来高度重视绩效管理工作，在2018年启动了全面绩效目标申报工作（含基本支出、项目支出），2019年启用项目库信息化系统实施绩效管理工作，绩效管理中目前存在如下问题： </w:t>
      </w:r>
    </w:p>
    <w:p w14:paraId="23005E2D" w14:textId="77777777" w:rsidR="00F43C2B" w:rsidRPr="00463F80" w:rsidRDefault="00F43C2B" w:rsidP="009F65D9">
      <w:pPr>
        <w:spacing w:line="560" w:lineRule="exact"/>
        <w:ind w:firstLineChars="100" w:firstLine="320"/>
        <w:rPr>
          <w:rFonts w:ascii="仿宋_GB2312" w:eastAsia="仿宋_GB2312" w:hAnsi="仿宋_GB2312"/>
          <w:sz w:val="32"/>
          <w:szCs w:val="32"/>
        </w:rPr>
      </w:pPr>
      <w:r w:rsidRPr="00463F80">
        <w:rPr>
          <w:rFonts w:ascii="宋体" w:eastAsia="宋体" w:hAnsi="宋体" w:cs="宋体" w:hint="eastAsia"/>
          <w:sz w:val="32"/>
          <w:szCs w:val="32"/>
        </w:rPr>
        <w:t> </w:t>
      </w:r>
      <w:r w:rsidRPr="00463F80">
        <w:rPr>
          <w:rFonts w:ascii="仿宋_GB2312" w:eastAsia="仿宋_GB2312" w:hAnsi="仿宋_GB2312" w:hint="eastAsia"/>
          <w:sz w:val="32"/>
          <w:szCs w:val="32"/>
        </w:rPr>
        <w:t>一、全面预算绩效管理手段先进性有待提高，现代化信息管理手段有待加强。</w:t>
      </w:r>
    </w:p>
    <w:p w14:paraId="3B3E76F3" w14:textId="77777777"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二、教职工绩效意识有待加强，职能部门及教学科研业务部门重预算、轻绩效，绩效管理缺乏奖惩措施，绩效评价结果对于推动后续工作的开展作用不大。财政管理与财务服务深度融合不够，精细化管理有待进一步加强。</w:t>
      </w:r>
    </w:p>
    <w:p w14:paraId="72D41253" w14:textId="77777777" w:rsidR="00925466"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 xml:space="preserve">三、落实预算绩效管理制度有待加强，业务部门缺乏主动性。 </w:t>
      </w:r>
    </w:p>
    <w:p w14:paraId="79BEC0DC" w14:textId="60EF9060"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四、人员紧张，绩效管理涉及范围广，时间纵线长，由于经费紧张及人员不足，宏观面的绩效评价指标较难实现数据跟踪和监测。</w:t>
      </w:r>
    </w:p>
    <w:p w14:paraId="743DECD7" w14:textId="77777777"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针对以上问题，提出以下改进措施：</w:t>
      </w:r>
    </w:p>
    <w:p w14:paraId="3D8E5074" w14:textId="77777777"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一、完善预算绩效管理信息系统，加深物联网信息技术应用，进一步完善高校智慧型业财融合系统，以业务为驱动，结合内部控制流程，实现从预算编制到决算分析全过程的跟踪监测，及时反馈绩效管理问题，最大限度发挥预算作用，减轻教职工工作负担。同时，进一步提升财务人员工作素养，探索多元财务服务方式，提高财务效率和服务水平。</w:t>
      </w:r>
    </w:p>
    <w:p w14:paraId="07805093" w14:textId="77777777"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二、明晰全面预算绩效管理评价的实施主体和客体，分清执行主体和监督主体，理清权力界限，加强预算经费的绩效管理和监督检查。提高预算细化管理水平，健全财权与事权相匹配的管理机制。校内二级部门要在学校下达预算的基础上进一步细化预算，明确经济责任制，把财务责任分解到项目、岗位和个人，做到权责明确，确保资金用在实处、用出实效。</w:t>
      </w:r>
    </w:p>
    <w:p w14:paraId="36D1901F" w14:textId="77777777" w:rsidR="00F43C2B" w:rsidRPr="00463F80" w:rsidRDefault="00F43C2B" w:rsidP="009F65D9">
      <w:pPr>
        <w:spacing w:line="560" w:lineRule="exact"/>
        <w:ind w:firstLine="640"/>
        <w:rPr>
          <w:rFonts w:ascii="仿宋_GB2312" w:eastAsia="仿宋_GB2312" w:hAnsi="仿宋_GB2312"/>
          <w:sz w:val="32"/>
          <w:szCs w:val="32"/>
        </w:rPr>
      </w:pPr>
      <w:r w:rsidRPr="00463F80">
        <w:rPr>
          <w:rFonts w:ascii="仿宋_GB2312" w:eastAsia="仿宋_GB2312" w:hAnsi="仿宋_GB2312" w:hint="eastAsia"/>
          <w:sz w:val="32"/>
          <w:szCs w:val="32"/>
        </w:rPr>
        <w:t>三、完善全面预算绩效管理评价体系，根据实际情况选择预算绩效管理模式。</w:t>
      </w:r>
    </w:p>
    <w:p w14:paraId="721259BD" w14:textId="657C8A3E" w:rsidR="0048780F" w:rsidRPr="00463F80" w:rsidRDefault="00F43C2B" w:rsidP="00350976">
      <w:pPr>
        <w:spacing w:line="560" w:lineRule="exact"/>
        <w:ind w:firstLine="640"/>
        <w:rPr>
          <w:rFonts w:ascii="微软雅黑" w:eastAsia="微软雅黑" w:hAnsi="微软雅黑"/>
          <w:szCs w:val="21"/>
        </w:rPr>
      </w:pPr>
      <w:r w:rsidRPr="00463F80">
        <w:rPr>
          <w:rFonts w:ascii="仿宋_GB2312" w:eastAsia="仿宋_GB2312" w:hAnsi="仿宋_GB2312" w:hint="eastAsia"/>
          <w:sz w:val="32"/>
          <w:szCs w:val="32"/>
        </w:rPr>
        <w:t>四、落实预算绩效管理奖惩措施，绩效实行责任制，将绩效评价结果与结项考核标准挂钩，提升责任人绩效意识性。</w:t>
      </w:r>
      <w:r w:rsidR="0043517D" w:rsidRPr="00463F80">
        <w:tab/>
      </w:r>
      <w:r w:rsidR="0001378D" w:rsidRPr="00463F80">
        <w:rPr>
          <w:rFonts w:ascii="微软雅黑" w:eastAsia="微软雅黑" w:hAnsi="微软雅黑" w:hint="eastAsia"/>
          <w:szCs w:val="21"/>
        </w:rPr>
        <w:t xml:space="preserve">      </w:t>
      </w:r>
    </w:p>
    <w:sectPr w:rsidR="0048780F" w:rsidRPr="00463F80">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26066" w14:textId="77777777" w:rsidR="00893C4A" w:rsidRDefault="00893C4A" w:rsidP="0066256F">
      <w:pPr>
        <w:ind w:firstLine="420"/>
      </w:pPr>
      <w:r>
        <w:separator/>
      </w:r>
    </w:p>
  </w:endnote>
  <w:endnote w:type="continuationSeparator" w:id="0">
    <w:p w14:paraId="4D3C32BC" w14:textId="77777777" w:rsidR="00893C4A" w:rsidRDefault="00893C4A" w:rsidP="0066256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E0162" w14:textId="77777777" w:rsidR="00D85009" w:rsidRDefault="00D85009" w:rsidP="0035097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0E5ED" w14:textId="77777777" w:rsidR="00D85009" w:rsidRDefault="00D85009" w:rsidP="0066256F">
    <w:pPr>
      <w:ind w:firstLine="420"/>
      <w:jc w:val="left"/>
    </w:pPr>
  </w:p>
  <w:p w14:paraId="48617F20" w14:textId="09E47A96" w:rsidR="00D85009" w:rsidRDefault="00D85009" w:rsidP="0066256F">
    <w:pPr>
      <w:ind w:firstLine="420"/>
      <w:jc w:val="left"/>
      <w:rPr>
        <w:rFonts w:ascii="宋体" w:eastAsia="宋体" w:hAnsi="宋体"/>
        <w:sz w:val="18"/>
        <w:szCs w:val="18"/>
      </w:rPr>
    </w:pPr>
    <w:r>
      <w:fldChar w:fldCharType="begin"/>
    </w:r>
    <w:r>
      <w:rPr>
        <w:rFonts w:ascii="宋体" w:eastAsia="宋体" w:hAnsi="宋体"/>
        <w:sz w:val="18"/>
        <w:szCs w:val="18"/>
      </w:rPr>
      <w:instrText>PAGE</w:instrText>
    </w:r>
    <w:r>
      <w:fldChar w:fldCharType="separate"/>
    </w:r>
    <w:r w:rsidR="0019047D">
      <w:rPr>
        <w:rFonts w:ascii="宋体" w:eastAsia="宋体" w:hAnsi="宋体"/>
        <w:noProof/>
        <w:sz w:val="18"/>
        <w:szCs w:val="18"/>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FA3A" w14:textId="77777777" w:rsidR="00D85009" w:rsidRDefault="00D85009" w:rsidP="0035097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6BCE" w14:textId="77777777" w:rsidR="00893C4A" w:rsidRDefault="00893C4A" w:rsidP="0066256F">
      <w:pPr>
        <w:ind w:firstLine="420"/>
      </w:pPr>
      <w:r>
        <w:separator/>
      </w:r>
    </w:p>
  </w:footnote>
  <w:footnote w:type="continuationSeparator" w:id="0">
    <w:p w14:paraId="3ED43E40" w14:textId="77777777" w:rsidR="00893C4A" w:rsidRDefault="00893C4A" w:rsidP="0066256F">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D05C" w14:textId="77777777" w:rsidR="00D85009" w:rsidRDefault="00D85009" w:rsidP="0035097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68764" w14:textId="31A3BE2A" w:rsidR="00D85009" w:rsidRPr="0056508D" w:rsidRDefault="00D85009" w:rsidP="00B72DDB">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F27C3" w14:textId="77777777" w:rsidR="00D85009" w:rsidRDefault="00D85009" w:rsidP="0035097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28E21922"/>
    <w:multiLevelType w:val="hybridMultilevel"/>
    <w:tmpl w:val="4D18DF12"/>
    <w:lvl w:ilvl="0" w:tplc="7AB86454">
      <w:start w:val="1"/>
      <w:numFmt w:val="decimal"/>
      <w:lvlText w:val="%1."/>
      <w:lvlJc w:val="left"/>
      <w:pPr>
        <w:ind w:left="1968" w:hanging="975"/>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nsid w:val="2AA10F31"/>
    <w:multiLevelType w:val="hybridMultilevel"/>
    <w:tmpl w:val="22DEEB26"/>
    <w:lvl w:ilvl="0" w:tplc="E278AFE2">
      <w:start w:val="1"/>
      <w:numFmt w:val="japaneseCounting"/>
      <w:lvlText w:val="（%1）"/>
      <w:lvlJc w:val="left"/>
      <w:pPr>
        <w:ind w:left="1648" w:hanging="10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17B7F2B"/>
    <w:multiLevelType w:val="multilevel"/>
    <w:tmpl w:val="B6FED692"/>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start w:val="1"/>
      <w:numFmt w:val="lowerRoman"/>
      <w:lvlText w:val="%9."/>
      <w:lvlJc w:val="left"/>
      <w:pPr>
        <w:ind w:left="3780" w:hanging="420"/>
      </w:pPr>
      <w:rPr>
        <w:rFonts w:ascii="Cambria" w:eastAsia="Cambria" w:hAnsi="Cambria" w:hint="default"/>
      </w:rPr>
    </w:lvl>
  </w:abstractNum>
  <w:abstractNum w:abstractNumId="4">
    <w:nsid w:val="31A7073B"/>
    <w:multiLevelType w:val="multilevel"/>
    <w:tmpl w:val="47E45332"/>
    <w:lvl w:ilvl="0">
      <w:start w:val="1"/>
      <w:numFmt w:val="decimal"/>
      <w:lvlText w:val="（%1）"/>
      <w:lvlJc w:val="left"/>
      <w:pPr>
        <w:ind w:left="420" w:hanging="420"/>
      </w:pPr>
      <w:rPr>
        <w:rFonts w:ascii="Cambria" w:eastAsia="Cambria" w:hAnsi="Cambri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6">
    <w:nsid w:val="366F08B6"/>
    <w:multiLevelType w:val="hybridMultilevel"/>
    <w:tmpl w:val="A986E938"/>
    <w:lvl w:ilvl="0" w:tplc="E648088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8">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4">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5">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6">
    <w:nsid w:val="7F111605"/>
    <w:multiLevelType w:val="multilevel"/>
    <w:tmpl w:val="E84093E6"/>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start w:val="1"/>
      <w:numFmt w:val="lowerRoman"/>
      <w:lvlText w:val="%9."/>
      <w:lvlJc w:val="left"/>
      <w:pPr>
        <w:ind w:left="3780" w:hanging="420"/>
      </w:pPr>
      <w:rPr>
        <w:rFonts w:ascii="Cambria" w:eastAsia="Cambria" w:hAnsi="Cambria" w:hint="default"/>
      </w:rPr>
    </w:lvl>
  </w:abstractNum>
  <w:num w:numId="1">
    <w:abstractNumId w:val="35"/>
  </w:num>
  <w:num w:numId="2">
    <w:abstractNumId w:val="10"/>
  </w:num>
  <w:num w:numId="3">
    <w:abstractNumId w:val="8"/>
  </w:num>
  <w:num w:numId="4">
    <w:abstractNumId w:val="9"/>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5"/>
  </w:num>
  <w:num w:numId="30">
    <w:abstractNumId w:val="7"/>
  </w:num>
  <w:num w:numId="31">
    <w:abstractNumId w:val="0"/>
  </w:num>
  <w:num w:numId="32">
    <w:abstractNumId w:val="4"/>
  </w:num>
  <w:num w:numId="33">
    <w:abstractNumId w:val="36"/>
  </w:num>
  <w:num w:numId="34">
    <w:abstractNumId w:val="3"/>
  </w:num>
  <w:num w:numId="35">
    <w:abstractNumId w:val="1"/>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1378D"/>
    <w:rsid w:val="00042361"/>
    <w:rsid w:val="0006424B"/>
    <w:rsid w:val="00064E1D"/>
    <w:rsid w:val="000678D2"/>
    <w:rsid w:val="000C51B7"/>
    <w:rsid w:val="00100983"/>
    <w:rsid w:val="00111E23"/>
    <w:rsid w:val="00116D76"/>
    <w:rsid w:val="00124E04"/>
    <w:rsid w:val="001254A0"/>
    <w:rsid w:val="00141366"/>
    <w:rsid w:val="0016266B"/>
    <w:rsid w:val="0019047D"/>
    <w:rsid w:val="001B08CA"/>
    <w:rsid w:val="001B3E02"/>
    <w:rsid w:val="001B6A87"/>
    <w:rsid w:val="001C0AC3"/>
    <w:rsid w:val="001E7CF2"/>
    <w:rsid w:val="00216EB9"/>
    <w:rsid w:val="00231186"/>
    <w:rsid w:val="00241B7D"/>
    <w:rsid w:val="0025527E"/>
    <w:rsid w:val="00284A7F"/>
    <w:rsid w:val="002C43AE"/>
    <w:rsid w:val="002C72CB"/>
    <w:rsid w:val="00310F9C"/>
    <w:rsid w:val="003201D1"/>
    <w:rsid w:val="003236DF"/>
    <w:rsid w:val="00350976"/>
    <w:rsid w:val="00352F87"/>
    <w:rsid w:val="003734B8"/>
    <w:rsid w:val="003A1C5F"/>
    <w:rsid w:val="003D4442"/>
    <w:rsid w:val="003E4EFF"/>
    <w:rsid w:val="004077A4"/>
    <w:rsid w:val="0041419D"/>
    <w:rsid w:val="004229D1"/>
    <w:rsid w:val="0043517D"/>
    <w:rsid w:val="00440E1D"/>
    <w:rsid w:val="00463F80"/>
    <w:rsid w:val="00480A5B"/>
    <w:rsid w:val="00480E97"/>
    <w:rsid w:val="00481546"/>
    <w:rsid w:val="00484607"/>
    <w:rsid w:val="00485ACE"/>
    <w:rsid w:val="0048780F"/>
    <w:rsid w:val="004C6C87"/>
    <w:rsid w:val="004D4978"/>
    <w:rsid w:val="004D5C85"/>
    <w:rsid w:val="00523517"/>
    <w:rsid w:val="0054252C"/>
    <w:rsid w:val="0054677D"/>
    <w:rsid w:val="005620D0"/>
    <w:rsid w:val="00563085"/>
    <w:rsid w:val="0056508D"/>
    <w:rsid w:val="00583A51"/>
    <w:rsid w:val="0059531B"/>
    <w:rsid w:val="005A12FE"/>
    <w:rsid w:val="005B0D74"/>
    <w:rsid w:val="005C4CA7"/>
    <w:rsid w:val="005E59C5"/>
    <w:rsid w:val="005E78C1"/>
    <w:rsid w:val="005F28A5"/>
    <w:rsid w:val="0061075D"/>
    <w:rsid w:val="00616505"/>
    <w:rsid w:val="0062213C"/>
    <w:rsid w:val="00633F40"/>
    <w:rsid w:val="00653C63"/>
    <w:rsid w:val="006549AD"/>
    <w:rsid w:val="006607F3"/>
    <w:rsid w:val="0066256F"/>
    <w:rsid w:val="00684D9C"/>
    <w:rsid w:val="00692722"/>
    <w:rsid w:val="006A63FD"/>
    <w:rsid w:val="006B0518"/>
    <w:rsid w:val="006B2A8C"/>
    <w:rsid w:val="006B5B8A"/>
    <w:rsid w:val="006C6989"/>
    <w:rsid w:val="00745003"/>
    <w:rsid w:val="007474D7"/>
    <w:rsid w:val="00756232"/>
    <w:rsid w:val="00775441"/>
    <w:rsid w:val="007940C7"/>
    <w:rsid w:val="007957F8"/>
    <w:rsid w:val="007A5259"/>
    <w:rsid w:val="007B4487"/>
    <w:rsid w:val="007B5863"/>
    <w:rsid w:val="007C0557"/>
    <w:rsid w:val="007C4892"/>
    <w:rsid w:val="007E5575"/>
    <w:rsid w:val="007E59B4"/>
    <w:rsid w:val="00842DA9"/>
    <w:rsid w:val="0086736B"/>
    <w:rsid w:val="008704F6"/>
    <w:rsid w:val="00871966"/>
    <w:rsid w:val="0087378B"/>
    <w:rsid w:val="00876464"/>
    <w:rsid w:val="008822FF"/>
    <w:rsid w:val="00893C4A"/>
    <w:rsid w:val="008B168D"/>
    <w:rsid w:val="008D12BE"/>
    <w:rsid w:val="008E5B98"/>
    <w:rsid w:val="008F61BC"/>
    <w:rsid w:val="00913688"/>
    <w:rsid w:val="0091373B"/>
    <w:rsid w:val="0091547E"/>
    <w:rsid w:val="00925466"/>
    <w:rsid w:val="009311DC"/>
    <w:rsid w:val="009543D8"/>
    <w:rsid w:val="0097795B"/>
    <w:rsid w:val="00995BFF"/>
    <w:rsid w:val="009C6C85"/>
    <w:rsid w:val="009C7A21"/>
    <w:rsid w:val="009D2318"/>
    <w:rsid w:val="009D7A67"/>
    <w:rsid w:val="009F1F2E"/>
    <w:rsid w:val="009F65D9"/>
    <w:rsid w:val="00A06ABE"/>
    <w:rsid w:val="00A23C6B"/>
    <w:rsid w:val="00A345E4"/>
    <w:rsid w:val="00A347D5"/>
    <w:rsid w:val="00A60633"/>
    <w:rsid w:val="00A642E3"/>
    <w:rsid w:val="00A96582"/>
    <w:rsid w:val="00A96D57"/>
    <w:rsid w:val="00AA1FB7"/>
    <w:rsid w:val="00AA3583"/>
    <w:rsid w:val="00AD4219"/>
    <w:rsid w:val="00AE11AF"/>
    <w:rsid w:val="00AE12AD"/>
    <w:rsid w:val="00AE3D3D"/>
    <w:rsid w:val="00B144B1"/>
    <w:rsid w:val="00B259E2"/>
    <w:rsid w:val="00B27EBE"/>
    <w:rsid w:val="00B4519D"/>
    <w:rsid w:val="00B60CB8"/>
    <w:rsid w:val="00B72DDB"/>
    <w:rsid w:val="00B81403"/>
    <w:rsid w:val="00B932C6"/>
    <w:rsid w:val="00BA0C1A"/>
    <w:rsid w:val="00BD05E7"/>
    <w:rsid w:val="00BD49CE"/>
    <w:rsid w:val="00BE3F26"/>
    <w:rsid w:val="00C061CB"/>
    <w:rsid w:val="00C15E0C"/>
    <w:rsid w:val="00C425E6"/>
    <w:rsid w:val="00C56A53"/>
    <w:rsid w:val="00C604EC"/>
    <w:rsid w:val="00C606D7"/>
    <w:rsid w:val="00CB4AA5"/>
    <w:rsid w:val="00CF6603"/>
    <w:rsid w:val="00D03DE4"/>
    <w:rsid w:val="00D06031"/>
    <w:rsid w:val="00D25CD5"/>
    <w:rsid w:val="00D47F5A"/>
    <w:rsid w:val="00D530B4"/>
    <w:rsid w:val="00D64938"/>
    <w:rsid w:val="00D658CC"/>
    <w:rsid w:val="00D660CE"/>
    <w:rsid w:val="00D85009"/>
    <w:rsid w:val="00D902AE"/>
    <w:rsid w:val="00D92A95"/>
    <w:rsid w:val="00DB5515"/>
    <w:rsid w:val="00DC7BA6"/>
    <w:rsid w:val="00DF225C"/>
    <w:rsid w:val="00E04C87"/>
    <w:rsid w:val="00E23ABB"/>
    <w:rsid w:val="00E26251"/>
    <w:rsid w:val="00E27C94"/>
    <w:rsid w:val="00E46C9E"/>
    <w:rsid w:val="00E5562F"/>
    <w:rsid w:val="00E5799F"/>
    <w:rsid w:val="00E60FE8"/>
    <w:rsid w:val="00E663F9"/>
    <w:rsid w:val="00E705FB"/>
    <w:rsid w:val="00E769A3"/>
    <w:rsid w:val="00EA1421"/>
    <w:rsid w:val="00EA14DD"/>
    <w:rsid w:val="00EA1EE8"/>
    <w:rsid w:val="00ED48CB"/>
    <w:rsid w:val="00ED50B9"/>
    <w:rsid w:val="00EF2674"/>
    <w:rsid w:val="00EF7580"/>
    <w:rsid w:val="00F05F51"/>
    <w:rsid w:val="00F20371"/>
    <w:rsid w:val="00F22D5F"/>
    <w:rsid w:val="00F43C2B"/>
    <w:rsid w:val="00F44BEE"/>
    <w:rsid w:val="00F52AAB"/>
    <w:rsid w:val="00F53662"/>
    <w:rsid w:val="00F61B19"/>
    <w:rsid w:val="00F62DD8"/>
    <w:rsid w:val="00F667C2"/>
    <w:rsid w:val="00F73F29"/>
    <w:rsid w:val="00F831ED"/>
    <w:rsid w:val="00F85FAE"/>
    <w:rsid w:val="00F913AC"/>
    <w:rsid w:val="00FA76A1"/>
    <w:rsid w:val="00FB30CF"/>
    <w:rsid w:val="00FD0AF9"/>
    <w:rsid w:val="00FE46E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white"/>
    </o:shapedefaults>
    <o:shapelayout v:ext="edit">
      <o:idmap v:ext="edit" data="1"/>
    </o:shapelayout>
  </w:shapeDefaults>
  <w:decimalSymbol w:val="."/>
  <w:listSeparator w:val=","/>
  <w14:docId w14:val="57EB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paragraph" w:styleId="1">
    <w:name w:val="heading 1"/>
    <w:basedOn w:val="a"/>
    <w:next w:val="a"/>
    <w:link w:val="1Char"/>
    <w:uiPriority w:val="9"/>
    <w:qFormat/>
    <w:rsid w:val="00D47F5A"/>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rsid w:val="00D47F5A"/>
    <w:pPr>
      <w:keepNext/>
      <w:keepLines/>
      <w:spacing w:line="560" w:lineRule="exact"/>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F831ED"/>
    <w:pPr>
      <w:keepNext/>
      <w:keepLines/>
      <w:spacing w:line="560" w:lineRule="exact"/>
      <w:outlineLvl w:val="2"/>
    </w:pPr>
    <w:rPr>
      <w:rFonts w:eastAsia="仿宋_GB2312"/>
      <w:b/>
      <w:bCs/>
      <w:sz w:val="32"/>
      <w:szCs w:val="32"/>
    </w:rPr>
  </w:style>
  <w:style w:type="paragraph" w:styleId="4">
    <w:name w:val="heading 4"/>
    <w:basedOn w:val="3"/>
    <w:next w:val="a"/>
    <w:link w:val="4Char"/>
    <w:uiPriority w:val="9"/>
    <w:unhideWhenUsed/>
    <w:qFormat/>
    <w:rsid w:val="00E04C87"/>
    <w:pPr>
      <w:spacing w:line="377" w:lineRule="auto"/>
      <w:ind w:leftChars="100" w:left="840" w:rightChars="100" w:right="100"/>
      <w:outlineLvl w:val="3"/>
    </w:pPr>
    <w:rPr>
      <w:rFonts w:asciiTheme="majorHAnsi" w:eastAsia="仿宋" w:hAnsiTheme="majorHAnsi" w:cstheme="majorBidi"/>
      <w:bCs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420"/>
    </w:pPr>
  </w:style>
  <w:style w:type="paragraph" w:customStyle="1" w:styleId="Style1">
    <w:name w:val="_Style 1"/>
    <w:basedOn w:val="a"/>
    <w:rsid w:val="0091373B"/>
    <w:pPr>
      <w:adjustRightInd w:val="0"/>
      <w:spacing w:after="160" w:line="240" w:lineRule="exact"/>
      <w:jc w:val="left"/>
    </w:pPr>
    <w:rPr>
      <w:rFonts w:ascii="Verdana" w:eastAsia="宋体" w:hAnsi="Verdana" w:cs="Times New Roman"/>
      <w:kern w:val="0"/>
      <w:sz w:val="20"/>
      <w:szCs w:val="20"/>
      <w:lang w:eastAsia="en-US"/>
    </w:rPr>
  </w:style>
  <w:style w:type="paragraph" w:styleId="a7">
    <w:name w:val="Balloon Text"/>
    <w:basedOn w:val="a"/>
    <w:link w:val="Char1"/>
    <w:uiPriority w:val="99"/>
    <w:semiHidden/>
    <w:unhideWhenUsed/>
    <w:rsid w:val="005E59C5"/>
    <w:rPr>
      <w:sz w:val="18"/>
      <w:szCs w:val="18"/>
    </w:rPr>
  </w:style>
  <w:style w:type="character" w:customStyle="1" w:styleId="Char1">
    <w:name w:val="批注框文本 Char"/>
    <w:basedOn w:val="a0"/>
    <w:link w:val="a7"/>
    <w:uiPriority w:val="99"/>
    <w:semiHidden/>
    <w:rsid w:val="005E59C5"/>
    <w:rPr>
      <w:kern w:val="2"/>
      <w:sz w:val="18"/>
      <w:szCs w:val="18"/>
    </w:rPr>
  </w:style>
  <w:style w:type="character" w:customStyle="1" w:styleId="1Char">
    <w:name w:val="标题 1 Char"/>
    <w:basedOn w:val="a0"/>
    <w:link w:val="1"/>
    <w:uiPriority w:val="9"/>
    <w:rsid w:val="00D47F5A"/>
    <w:rPr>
      <w:rFonts w:eastAsia="黑体"/>
      <w:b/>
      <w:bCs/>
      <w:kern w:val="44"/>
      <w:sz w:val="44"/>
      <w:szCs w:val="44"/>
    </w:rPr>
  </w:style>
  <w:style w:type="character" w:customStyle="1" w:styleId="2Char">
    <w:name w:val="标题 2 Char"/>
    <w:basedOn w:val="a0"/>
    <w:link w:val="2"/>
    <w:uiPriority w:val="9"/>
    <w:rsid w:val="00D47F5A"/>
    <w:rPr>
      <w:rFonts w:asciiTheme="majorHAnsi" w:eastAsia="黑体" w:hAnsiTheme="majorHAnsi" w:cstheme="majorBidi"/>
      <w:b/>
      <w:bCs/>
      <w:kern w:val="2"/>
      <w:sz w:val="32"/>
      <w:szCs w:val="32"/>
    </w:rPr>
  </w:style>
  <w:style w:type="character" w:customStyle="1" w:styleId="3Char">
    <w:name w:val="标题 3 Char"/>
    <w:basedOn w:val="a0"/>
    <w:link w:val="3"/>
    <w:uiPriority w:val="9"/>
    <w:rsid w:val="00F831ED"/>
    <w:rPr>
      <w:rFonts w:eastAsia="仿宋_GB2312"/>
      <w:b/>
      <w:bCs/>
      <w:kern w:val="2"/>
      <w:sz w:val="32"/>
      <w:szCs w:val="32"/>
    </w:rPr>
  </w:style>
  <w:style w:type="paragraph" w:styleId="TOC">
    <w:name w:val="TOC Heading"/>
    <w:basedOn w:val="1"/>
    <w:next w:val="a"/>
    <w:uiPriority w:val="39"/>
    <w:semiHidden/>
    <w:unhideWhenUsed/>
    <w:qFormat/>
    <w:rsid w:val="009D7A67"/>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27EBE"/>
    <w:pPr>
      <w:tabs>
        <w:tab w:val="right" w:leader="dot" w:pos="9736"/>
      </w:tabs>
      <w:spacing w:line="400" w:lineRule="exact"/>
    </w:pPr>
    <w:rPr>
      <w:b/>
      <w:noProof/>
      <w:sz w:val="28"/>
      <w:szCs w:val="28"/>
    </w:rPr>
  </w:style>
  <w:style w:type="paragraph" w:styleId="20">
    <w:name w:val="toc 2"/>
    <w:basedOn w:val="a"/>
    <w:next w:val="a"/>
    <w:autoRedefine/>
    <w:uiPriority w:val="39"/>
    <w:unhideWhenUsed/>
    <w:rsid w:val="00B27EBE"/>
    <w:pPr>
      <w:tabs>
        <w:tab w:val="right" w:leader="dot" w:pos="9736"/>
      </w:tabs>
      <w:ind w:leftChars="200" w:left="420"/>
    </w:pPr>
    <w:rPr>
      <w:noProof/>
      <w:sz w:val="28"/>
      <w:szCs w:val="28"/>
    </w:rPr>
  </w:style>
  <w:style w:type="paragraph" w:styleId="30">
    <w:name w:val="toc 3"/>
    <w:basedOn w:val="a"/>
    <w:next w:val="a"/>
    <w:autoRedefine/>
    <w:uiPriority w:val="39"/>
    <w:unhideWhenUsed/>
    <w:rsid w:val="009D7A67"/>
    <w:pPr>
      <w:ind w:leftChars="400" w:left="840"/>
    </w:pPr>
  </w:style>
  <w:style w:type="character" w:styleId="a8">
    <w:name w:val="Hyperlink"/>
    <w:basedOn w:val="a0"/>
    <w:uiPriority w:val="99"/>
    <w:unhideWhenUsed/>
    <w:rsid w:val="009D7A67"/>
    <w:rPr>
      <w:color w:val="0000FF" w:themeColor="hyperlink"/>
      <w:u w:val="single"/>
    </w:rPr>
  </w:style>
  <w:style w:type="character" w:customStyle="1" w:styleId="4Char">
    <w:name w:val="标题 4 Char"/>
    <w:basedOn w:val="a0"/>
    <w:link w:val="4"/>
    <w:uiPriority w:val="9"/>
    <w:rsid w:val="00E04C87"/>
    <w:rPr>
      <w:rFonts w:asciiTheme="majorHAnsi" w:eastAsia="仿宋" w:hAnsiTheme="majorHAnsi" w:cstheme="majorBidi"/>
      <w:b/>
      <w:kern w:val="2"/>
      <w:sz w:val="32"/>
      <w:szCs w:val="28"/>
    </w:rPr>
  </w:style>
  <w:style w:type="table" w:customStyle="1" w:styleId="11">
    <w:name w:val="网格型1"/>
    <w:basedOn w:val="a1"/>
    <w:next w:val="a5"/>
    <w:uiPriority w:val="59"/>
    <w:qFormat/>
    <w:rsid w:val="00871966"/>
    <w:pPr>
      <w:widowControl w:val="0"/>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paragraph" w:styleId="1">
    <w:name w:val="heading 1"/>
    <w:basedOn w:val="a"/>
    <w:next w:val="a"/>
    <w:link w:val="1Char"/>
    <w:uiPriority w:val="9"/>
    <w:qFormat/>
    <w:rsid w:val="00D47F5A"/>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rsid w:val="00D47F5A"/>
    <w:pPr>
      <w:keepNext/>
      <w:keepLines/>
      <w:spacing w:line="560" w:lineRule="exact"/>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F831ED"/>
    <w:pPr>
      <w:keepNext/>
      <w:keepLines/>
      <w:spacing w:line="560" w:lineRule="exact"/>
      <w:outlineLvl w:val="2"/>
    </w:pPr>
    <w:rPr>
      <w:rFonts w:eastAsia="仿宋_GB2312"/>
      <w:b/>
      <w:bCs/>
      <w:sz w:val="32"/>
      <w:szCs w:val="32"/>
    </w:rPr>
  </w:style>
  <w:style w:type="paragraph" w:styleId="4">
    <w:name w:val="heading 4"/>
    <w:basedOn w:val="3"/>
    <w:next w:val="a"/>
    <w:link w:val="4Char"/>
    <w:uiPriority w:val="9"/>
    <w:unhideWhenUsed/>
    <w:qFormat/>
    <w:rsid w:val="00E04C87"/>
    <w:pPr>
      <w:spacing w:line="377" w:lineRule="auto"/>
      <w:ind w:leftChars="100" w:left="840" w:rightChars="100" w:right="100"/>
      <w:outlineLvl w:val="3"/>
    </w:pPr>
    <w:rPr>
      <w:rFonts w:asciiTheme="majorHAnsi" w:eastAsia="仿宋" w:hAnsiTheme="majorHAnsi" w:cstheme="majorBidi"/>
      <w:bCs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420"/>
    </w:pPr>
  </w:style>
  <w:style w:type="paragraph" w:customStyle="1" w:styleId="Style1">
    <w:name w:val="_Style 1"/>
    <w:basedOn w:val="a"/>
    <w:rsid w:val="0091373B"/>
    <w:pPr>
      <w:adjustRightInd w:val="0"/>
      <w:spacing w:after="160" w:line="240" w:lineRule="exact"/>
      <w:jc w:val="left"/>
    </w:pPr>
    <w:rPr>
      <w:rFonts w:ascii="Verdana" w:eastAsia="宋体" w:hAnsi="Verdana" w:cs="Times New Roman"/>
      <w:kern w:val="0"/>
      <w:sz w:val="20"/>
      <w:szCs w:val="20"/>
      <w:lang w:eastAsia="en-US"/>
    </w:rPr>
  </w:style>
  <w:style w:type="paragraph" w:styleId="a7">
    <w:name w:val="Balloon Text"/>
    <w:basedOn w:val="a"/>
    <w:link w:val="Char1"/>
    <w:uiPriority w:val="99"/>
    <w:semiHidden/>
    <w:unhideWhenUsed/>
    <w:rsid w:val="005E59C5"/>
    <w:rPr>
      <w:sz w:val="18"/>
      <w:szCs w:val="18"/>
    </w:rPr>
  </w:style>
  <w:style w:type="character" w:customStyle="1" w:styleId="Char1">
    <w:name w:val="批注框文本 Char"/>
    <w:basedOn w:val="a0"/>
    <w:link w:val="a7"/>
    <w:uiPriority w:val="99"/>
    <w:semiHidden/>
    <w:rsid w:val="005E59C5"/>
    <w:rPr>
      <w:kern w:val="2"/>
      <w:sz w:val="18"/>
      <w:szCs w:val="18"/>
    </w:rPr>
  </w:style>
  <w:style w:type="character" w:customStyle="1" w:styleId="1Char">
    <w:name w:val="标题 1 Char"/>
    <w:basedOn w:val="a0"/>
    <w:link w:val="1"/>
    <w:uiPriority w:val="9"/>
    <w:rsid w:val="00D47F5A"/>
    <w:rPr>
      <w:rFonts w:eastAsia="黑体"/>
      <w:b/>
      <w:bCs/>
      <w:kern w:val="44"/>
      <w:sz w:val="44"/>
      <w:szCs w:val="44"/>
    </w:rPr>
  </w:style>
  <w:style w:type="character" w:customStyle="1" w:styleId="2Char">
    <w:name w:val="标题 2 Char"/>
    <w:basedOn w:val="a0"/>
    <w:link w:val="2"/>
    <w:uiPriority w:val="9"/>
    <w:rsid w:val="00D47F5A"/>
    <w:rPr>
      <w:rFonts w:asciiTheme="majorHAnsi" w:eastAsia="黑体" w:hAnsiTheme="majorHAnsi" w:cstheme="majorBidi"/>
      <w:b/>
      <w:bCs/>
      <w:kern w:val="2"/>
      <w:sz w:val="32"/>
      <w:szCs w:val="32"/>
    </w:rPr>
  </w:style>
  <w:style w:type="character" w:customStyle="1" w:styleId="3Char">
    <w:name w:val="标题 3 Char"/>
    <w:basedOn w:val="a0"/>
    <w:link w:val="3"/>
    <w:uiPriority w:val="9"/>
    <w:rsid w:val="00F831ED"/>
    <w:rPr>
      <w:rFonts w:eastAsia="仿宋_GB2312"/>
      <w:b/>
      <w:bCs/>
      <w:kern w:val="2"/>
      <w:sz w:val="32"/>
      <w:szCs w:val="32"/>
    </w:rPr>
  </w:style>
  <w:style w:type="paragraph" w:styleId="TOC">
    <w:name w:val="TOC Heading"/>
    <w:basedOn w:val="1"/>
    <w:next w:val="a"/>
    <w:uiPriority w:val="39"/>
    <w:semiHidden/>
    <w:unhideWhenUsed/>
    <w:qFormat/>
    <w:rsid w:val="009D7A67"/>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27EBE"/>
    <w:pPr>
      <w:tabs>
        <w:tab w:val="right" w:leader="dot" w:pos="9736"/>
      </w:tabs>
      <w:spacing w:line="400" w:lineRule="exact"/>
    </w:pPr>
    <w:rPr>
      <w:b/>
      <w:noProof/>
      <w:sz w:val="28"/>
      <w:szCs w:val="28"/>
    </w:rPr>
  </w:style>
  <w:style w:type="paragraph" w:styleId="20">
    <w:name w:val="toc 2"/>
    <w:basedOn w:val="a"/>
    <w:next w:val="a"/>
    <w:autoRedefine/>
    <w:uiPriority w:val="39"/>
    <w:unhideWhenUsed/>
    <w:rsid w:val="00B27EBE"/>
    <w:pPr>
      <w:tabs>
        <w:tab w:val="right" w:leader="dot" w:pos="9736"/>
      </w:tabs>
      <w:ind w:leftChars="200" w:left="420"/>
    </w:pPr>
    <w:rPr>
      <w:noProof/>
      <w:sz w:val="28"/>
      <w:szCs w:val="28"/>
    </w:rPr>
  </w:style>
  <w:style w:type="paragraph" w:styleId="30">
    <w:name w:val="toc 3"/>
    <w:basedOn w:val="a"/>
    <w:next w:val="a"/>
    <w:autoRedefine/>
    <w:uiPriority w:val="39"/>
    <w:unhideWhenUsed/>
    <w:rsid w:val="009D7A67"/>
    <w:pPr>
      <w:ind w:leftChars="400" w:left="840"/>
    </w:pPr>
  </w:style>
  <w:style w:type="character" w:styleId="a8">
    <w:name w:val="Hyperlink"/>
    <w:basedOn w:val="a0"/>
    <w:uiPriority w:val="99"/>
    <w:unhideWhenUsed/>
    <w:rsid w:val="009D7A67"/>
    <w:rPr>
      <w:color w:val="0000FF" w:themeColor="hyperlink"/>
      <w:u w:val="single"/>
    </w:rPr>
  </w:style>
  <w:style w:type="character" w:customStyle="1" w:styleId="4Char">
    <w:name w:val="标题 4 Char"/>
    <w:basedOn w:val="a0"/>
    <w:link w:val="4"/>
    <w:uiPriority w:val="9"/>
    <w:rsid w:val="00E04C87"/>
    <w:rPr>
      <w:rFonts w:asciiTheme="majorHAnsi" w:eastAsia="仿宋" w:hAnsiTheme="majorHAnsi" w:cstheme="majorBidi"/>
      <w:b/>
      <w:kern w:val="2"/>
      <w:sz w:val="32"/>
      <w:szCs w:val="28"/>
    </w:rPr>
  </w:style>
  <w:style w:type="table" w:customStyle="1" w:styleId="11">
    <w:name w:val="网格型1"/>
    <w:basedOn w:val="a1"/>
    <w:next w:val="a5"/>
    <w:uiPriority w:val="59"/>
    <w:qFormat/>
    <w:rsid w:val="00871966"/>
    <w:pPr>
      <w:widowControl w:val="0"/>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04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600" b="1" i="0" u="none" strike="noStrike" baseline="0">
                <a:effectLst/>
              </a:rPr>
              <a:t> 2019</a:t>
            </a:r>
            <a:r>
              <a:rPr lang="zh-CN" altLang="zh-CN" sz="1600" b="1" i="0" u="none" strike="noStrike" baseline="0">
                <a:effectLst/>
              </a:rPr>
              <a:t>年</a:t>
            </a:r>
            <a:r>
              <a:rPr lang="zh-CN" altLang="en-US" sz="1600" b="1" i="0" u="none" strike="noStrike" baseline="0">
                <a:effectLst/>
              </a:rPr>
              <a:t>整体</a:t>
            </a:r>
            <a:r>
              <a:rPr lang="zh-CN" altLang="zh-CN" sz="1600" b="1" i="0" u="none" strike="noStrike" baseline="0">
                <a:effectLst/>
              </a:rPr>
              <a:t>支出构成情况</a:t>
            </a:r>
            <a:endParaRPr lang="zh-CN" altLang="en-US" sz="1600"/>
          </a:p>
        </c:rich>
      </c:tx>
      <c:overlay val="0"/>
    </c:title>
    <c:autoTitleDeleted val="0"/>
    <c:plotArea>
      <c:layout/>
      <c:pieChart>
        <c:varyColors val="1"/>
        <c:ser>
          <c:idx val="0"/>
          <c:order val="0"/>
          <c:dLbls>
            <c:numFmt formatCode="0.00%" sourceLinked="0"/>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Sheet1!$A$1:$A$5</c:f>
              <c:strCache>
                <c:ptCount val="5"/>
                <c:pt idx="0">
                  <c:v>工资福利支出</c:v>
                </c:pt>
                <c:pt idx="1">
                  <c:v>商品服务支出</c:v>
                </c:pt>
                <c:pt idx="2">
                  <c:v>对个人和家庭补助支出</c:v>
                </c:pt>
                <c:pt idx="3">
                  <c:v>资本性支出</c:v>
                </c:pt>
                <c:pt idx="4">
                  <c:v>债务利息支出</c:v>
                </c:pt>
              </c:strCache>
            </c:strRef>
          </c:cat>
          <c:val>
            <c:numRef>
              <c:f>Sheet1!$B$1:$B$5</c:f>
              <c:numCache>
                <c:formatCode>0.00%</c:formatCode>
                <c:ptCount val="5"/>
                <c:pt idx="0">
                  <c:v>0.51549999999999996</c:v>
                </c:pt>
                <c:pt idx="1">
                  <c:v>0.1988</c:v>
                </c:pt>
                <c:pt idx="2">
                  <c:v>7.8700000000000006E-2</c:v>
                </c:pt>
                <c:pt idx="3">
                  <c:v>0.18329999999999999</c:v>
                </c:pt>
                <c:pt idx="4">
                  <c:v>2.3699999999999999E-2</c:v>
                </c:pt>
              </c:numCache>
            </c:numRef>
          </c:val>
          <c:extLst xmlns:c16r2="http://schemas.microsoft.com/office/drawing/2015/06/chart">
            <c:ext xmlns:c16="http://schemas.microsoft.com/office/drawing/2014/chart" uri="{C3380CC4-5D6E-409C-BE32-E72D297353CC}">
              <c16:uniqueId val="{00000000-C4AF-4F4A-BA77-227BAE5BF8E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892AD-7F42-4267-8122-E120F9B3512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4640</Words>
  <Characters>26449</Characters>
  <Application>Microsoft Office Word</Application>
  <DocSecurity>0</DocSecurity>
  <Lines>220</Lines>
  <Paragraphs>62</Paragraphs>
  <ScaleCrop>false</ScaleCrop>
  <Company>Microsoft</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曾翠兰</cp:lastModifiedBy>
  <cp:revision>2</cp:revision>
  <cp:lastPrinted>2020-06-02T07:51:00Z</cp:lastPrinted>
  <dcterms:created xsi:type="dcterms:W3CDTF">2020-08-28T02:51:00Z</dcterms:created>
  <dcterms:modified xsi:type="dcterms:W3CDTF">2020-08-28T02:51:00Z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