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szCs w:val="20"/>
        </w:rPr>
      </w:pPr>
    </w:p>
    <w:p>
      <w:pPr>
        <w:rPr>
          <w:rFonts w:ascii="宋体" w:hAnsi="宋体" w:eastAsia="宋体" w:cs="宋体"/>
          <w:sz w:val="24"/>
          <w:szCs w:val="20"/>
        </w:rPr>
      </w:pPr>
    </w:p>
    <w:p>
      <w:pPr>
        <w:rPr>
          <w:rFonts w:ascii="宋体" w:hAnsi="宋体" w:eastAsia="宋体" w:cs="宋体"/>
          <w:sz w:val="24"/>
          <w:szCs w:val="20"/>
        </w:rPr>
      </w:pPr>
      <w:r>
        <w:rPr>
          <w:rFonts w:ascii="宋体" w:hAnsi="宋体" w:eastAsia="宋体" w:cs="宋体"/>
          <w:sz w:val="24"/>
          <w:szCs w:val="20"/>
        </w:rPr>
        <w:drawing>
          <wp:inline distT="0" distB="0" distL="0" distR="0">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pPr>
        <w:rPr>
          <w:rFonts w:ascii="宋体" w:hAnsi="宋体" w:eastAsia="宋体" w:cs="宋体"/>
          <w:sz w:val="24"/>
          <w:szCs w:val="20"/>
        </w:rPr>
      </w:pPr>
    </w:p>
    <w:p>
      <w:pPr>
        <w:rPr>
          <w:rFonts w:ascii="宋体" w:hAnsi="宋体" w:eastAsia="宋体" w:cs="宋体"/>
          <w:sz w:val="24"/>
          <w:szCs w:val="20"/>
        </w:rPr>
      </w:pPr>
    </w:p>
    <w:p>
      <w:pPr>
        <w:rPr>
          <w:rFonts w:ascii="宋体" w:hAnsi="宋体" w:eastAsia="宋体" w:cs="宋体"/>
          <w:sz w:val="24"/>
          <w:szCs w:val="20"/>
        </w:rPr>
      </w:pPr>
    </w:p>
    <w:p>
      <w:pPr>
        <w:jc w:val="center"/>
        <w:rPr>
          <w:rFonts w:ascii="宋体" w:hAnsi="宋体" w:eastAsia="宋体" w:cs="宋体"/>
          <w:sz w:val="24"/>
          <w:szCs w:val="20"/>
        </w:rPr>
      </w:pPr>
      <w:r>
        <w:rPr>
          <w:rFonts w:hint="eastAsia" w:ascii="宋体" w:hAnsi="宋体" w:eastAsia="宋体" w:cs="宋体"/>
          <w:sz w:val="48"/>
          <w:szCs w:val="48"/>
        </w:rPr>
        <w:t>测绘遥感信息学院</w:t>
      </w:r>
    </w:p>
    <w:p>
      <w:pPr>
        <w:rPr>
          <w:rFonts w:ascii="宋体" w:hAnsi="宋体" w:eastAsia="宋体" w:cs="宋体"/>
          <w:sz w:val="24"/>
          <w:szCs w:val="20"/>
        </w:rPr>
      </w:pPr>
    </w:p>
    <w:p>
      <w:pPr>
        <w:spacing w:line="480" w:lineRule="auto"/>
        <w:jc w:val="center"/>
        <w:rPr>
          <w:rFonts w:ascii="宋体" w:hAnsi="宋体" w:eastAsia="宋体" w:cs="宋体"/>
          <w:sz w:val="48"/>
          <w:szCs w:val="48"/>
        </w:rPr>
      </w:pPr>
      <w:bookmarkStart w:id="0" w:name="_Toc241725850"/>
      <w:r>
        <w:rPr>
          <w:rFonts w:hint="eastAsia" w:ascii="宋体" w:hAnsi="宋体" w:eastAsia="宋体" w:cs="宋体"/>
          <w:sz w:val="48"/>
          <w:szCs w:val="48"/>
        </w:rPr>
        <w:t>工程测量技术专业</w:t>
      </w:r>
    </w:p>
    <w:p>
      <w:pPr>
        <w:spacing w:before="156" w:beforeLines="50" w:after="156" w:afterLines="50" w:line="480" w:lineRule="auto"/>
        <w:jc w:val="center"/>
        <w:rPr>
          <w:rFonts w:ascii="宋体" w:hAnsi="宋体" w:eastAsia="宋体" w:cs="宋体"/>
          <w:sz w:val="44"/>
          <w:szCs w:val="44"/>
        </w:rPr>
      </w:pPr>
    </w:p>
    <w:p>
      <w:pPr>
        <w:spacing w:line="1200" w:lineRule="auto"/>
        <w:jc w:val="center"/>
        <w:rPr>
          <w:rFonts w:ascii="宋体" w:hAnsi="宋体" w:eastAsia="宋体" w:cs="宋体"/>
          <w:b/>
          <w:spacing w:val="30"/>
          <w:sz w:val="72"/>
          <w:szCs w:val="72"/>
        </w:rPr>
      </w:pPr>
      <w:r>
        <w:rPr>
          <w:rFonts w:hint="eastAsia" w:ascii="宋体" w:hAnsi="宋体" w:eastAsia="宋体" w:cs="宋体"/>
          <w:b/>
          <w:spacing w:val="30"/>
          <w:sz w:val="72"/>
          <w:szCs w:val="72"/>
        </w:rPr>
        <w:t>人才培养方案</w:t>
      </w:r>
    </w:p>
    <w:p>
      <w:pPr>
        <w:spacing w:line="480" w:lineRule="auto"/>
        <w:jc w:val="center"/>
        <w:rPr>
          <w:rFonts w:ascii="宋体" w:hAnsi="宋体" w:eastAsia="宋体" w:cs="宋体"/>
          <w:b/>
          <w:sz w:val="40"/>
          <w:szCs w:val="48"/>
        </w:rPr>
      </w:pPr>
      <w:r>
        <w:rPr>
          <w:rFonts w:hint="eastAsia" w:ascii="宋体" w:hAnsi="宋体" w:eastAsia="宋体" w:cs="宋体"/>
          <w:b/>
          <w:sz w:val="40"/>
          <w:szCs w:val="48"/>
        </w:rPr>
        <w:t>（2020级高技能人才提升计划——三年制）</w:t>
      </w:r>
    </w:p>
    <w:p>
      <w:pPr>
        <w:spacing w:line="480" w:lineRule="auto"/>
        <w:jc w:val="center"/>
        <w:rPr>
          <w:rFonts w:ascii="宋体" w:hAnsi="宋体" w:eastAsia="宋体" w:cs="宋体"/>
          <w:b/>
          <w:color w:val="auto"/>
          <w:sz w:val="52"/>
          <w:szCs w:val="52"/>
        </w:rPr>
      </w:pPr>
      <w:r>
        <w:rPr>
          <w:rFonts w:hint="eastAsia" w:ascii="宋体" w:hAnsi="宋体" w:eastAsia="宋体" w:cs="宋体"/>
          <w:b/>
          <w:color w:val="auto"/>
          <w:sz w:val="40"/>
          <w:szCs w:val="48"/>
        </w:rPr>
        <w:t>（</w:t>
      </w:r>
      <w:r>
        <w:rPr>
          <w:rFonts w:hint="eastAsia" w:ascii="宋体" w:hAnsi="宋体" w:eastAsia="宋体" w:cs="宋体"/>
          <w:b/>
          <w:color w:val="auto"/>
          <w:sz w:val="40"/>
          <w:szCs w:val="48"/>
          <w:lang w:val="en-US" w:eastAsia="zh-CN"/>
        </w:rPr>
        <w:t>惠州市宝山职业技术学校</w:t>
      </w:r>
      <w:r>
        <w:rPr>
          <w:rFonts w:hint="eastAsia" w:ascii="宋体" w:hAnsi="宋体" w:eastAsia="宋体" w:cs="宋体"/>
          <w:b/>
          <w:color w:val="auto"/>
          <w:sz w:val="40"/>
          <w:szCs w:val="48"/>
        </w:rPr>
        <w:t>教学点）</w:t>
      </w:r>
    </w:p>
    <w:p>
      <w:pPr>
        <w:spacing w:line="480" w:lineRule="auto"/>
        <w:jc w:val="center"/>
        <w:rPr>
          <w:rFonts w:ascii="宋体" w:hAnsi="宋体" w:eastAsia="宋体" w:cs="宋体"/>
          <w:b/>
          <w:sz w:val="52"/>
          <w:szCs w:val="52"/>
        </w:rPr>
      </w:pPr>
    </w:p>
    <w:p>
      <w:pPr>
        <w:spacing w:line="480" w:lineRule="auto"/>
        <w:jc w:val="center"/>
        <w:rPr>
          <w:rFonts w:ascii="宋体" w:hAnsi="宋体" w:eastAsia="宋体" w:cs="宋体"/>
          <w:b/>
          <w:sz w:val="52"/>
          <w:szCs w:val="52"/>
        </w:rPr>
      </w:pPr>
    </w:p>
    <w:p>
      <w:pPr>
        <w:spacing w:line="480" w:lineRule="auto"/>
        <w:jc w:val="center"/>
        <w:rPr>
          <w:rFonts w:ascii="宋体" w:hAnsi="宋体" w:eastAsia="宋体" w:cs="宋体"/>
          <w:b/>
          <w:sz w:val="52"/>
          <w:szCs w:val="52"/>
        </w:rPr>
      </w:pPr>
    </w:p>
    <w:p>
      <w:pPr>
        <w:spacing w:line="480" w:lineRule="auto"/>
        <w:jc w:val="center"/>
        <w:rPr>
          <w:rFonts w:ascii="宋体" w:hAnsi="宋体" w:eastAsia="宋体" w:cs="宋体"/>
          <w:sz w:val="44"/>
          <w:szCs w:val="44"/>
        </w:rPr>
      </w:pPr>
    </w:p>
    <w:p>
      <w:pPr>
        <w:spacing w:line="480" w:lineRule="auto"/>
        <w:jc w:val="center"/>
        <w:rPr>
          <w:rFonts w:ascii="宋体" w:hAnsi="宋体" w:eastAsia="宋体" w:cs="宋体"/>
          <w:sz w:val="44"/>
          <w:szCs w:val="44"/>
        </w:rPr>
      </w:pPr>
    </w:p>
    <w:p>
      <w:pPr>
        <w:spacing w:line="480" w:lineRule="auto"/>
        <w:jc w:val="center"/>
        <w:rPr>
          <w:rFonts w:ascii="宋体" w:hAnsi="宋体" w:eastAsia="宋体" w:cs="宋体"/>
          <w:spacing w:val="40"/>
          <w:sz w:val="32"/>
          <w:szCs w:val="32"/>
        </w:rPr>
      </w:pPr>
      <w:r>
        <w:rPr>
          <w:rFonts w:hint="eastAsia" w:ascii="宋体" w:hAnsi="宋体" w:eastAsia="宋体" w:cs="宋体"/>
          <w:spacing w:val="40"/>
          <w:sz w:val="32"/>
          <w:szCs w:val="32"/>
        </w:rPr>
        <w:t>广东工贸职业技术学院</w:t>
      </w:r>
    </w:p>
    <w:p>
      <w:pPr>
        <w:jc w:val="center"/>
        <w:rPr>
          <w:rFonts w:ascii="宋体" w:hAnsi="宋体" w:eastAsia="宋体" w:cs="宋体"/>
          <w:spacing w:val="40"/>
          <w:sz w:val="32"/>
          <w:szCs w:val="32"/>
        </w:rPr>
      </w:pPr>
      <w:r>
        <w:rPr>
          <w:rFonts w:hint="eastAsia" w:ascii="宋体" w:hAnsi="宋体" w:eastAsia="宋体" w:cs="宋体"/>
          <w:spacing w:val="40"/>
          <w:sz w:val="32"/>
          <w:szCs w:val="32"/>
        </w:rPr>
        <w:t>二○</w:t>
      </w:r>
      <w:r>
        <w:rPr>
          <w:rFonts w:hint="eastAsia" w:ascii="宋体" w:hAnsi="宋体" w:eastAsia="宋体" w:cs="宋体"/>
          <w:spacing w:val="40"/>
          <w:sz w:val="32"/>
          <w:szCs w:val="32"/>
          <w:lang w:val="en-US" w:eastAsia="zh-CN"/>
        </w:rPr>
        <w:t>一九</w:t>
      </w:r>
      <w:r>
        <w:rPr>
          <w:rFonts w:hint="eastAsia" w:ascii="宋体" w:hAnsi="宋体" w:eastAsia="宋体" w:cs="宋体"/>
          <w:spacing w:val="40"/>
          <w:sz w:val="32"/>
          <w:szCs w:val="32"/>
        </w:rPr>
        <w:t>年</w:t>
      </w:r>
      <w:r>
        <w:rPr>
          <w:rFonts w:hint="eastAsia" w:ascii="宋体" w:hAnsi="宋体" w:eastAsia="宋体" w:cs="宋体"/>
          <w:spacing w:val="40"/>
          <w:sz w:val="32"/>
          <w:szCs w:val="32"/>
          <w:lang w:eastAsia="zh-CN"/>
        </w:rPr>
        <w:t>十二</w:t>
      </w:r>
      <w:r>
        <w:rPr>
          <w:rFonts w:hint="eastAsia" w:ascii="宋体" w:hAnsi="宋体" w:eastAsia="宋体" w:cs="宋体"/>
          <w:spacing w:val="40"/>
          <w:sz w:val="32"/>
          <w:szCs w:val="32"/>
        </w:rPr>
        <w:t>月</w:t>
      </w:r>
    </w:p>
    <w:p>
      <w:pPr>
        <w:widowControl/>
        <w:jc w:val="left"/>
        <w:rPr>
          <w:rFonts w:ascii="宋体" w:hAnsi="宋体" w:eastAsia="宋体" w:cs="宋体"/>
          <w:spacing w:val="40"/>
          <w:sz w:val="32"/>
          <w:szCs w:val="32"/>
        </w:rPr>
      </w:pPr>
      <w:r>
        <w:rPr>
          <w:rFonts w:ascii="宋体" w:hAnsi="宋体" w:eastAsia="宋体" w:cs="宋体"/>
          <w:spacing w:val="40"/>
          <w:sz w:val="32"/>
          <w:szCs w:val="32"/>
        </w:rPr>
        <w:br w:type="page"/>
      </w:r>
    </w:p>
    <w:p>
      <w:pPr>
        <w:pStyle w:val="12"/>
        <w:adjustRightInd w:val="0"/>
        <w:snapToGrid w:val="0"/>
        <w:spacing w:before="0" w:beforeAutospacing="0" w:after="0" w:afterAutospacing="0" w:line="360" w:lineRule="auto"/>
        <w:jc w:val="center"/>
        <w:rPr>
          <w:b/>
          <w:sz w:val="32"/>
          <w:szCs w:val="32"/>
        </w:rPr>
      </w:pPr>
      <w:r>
        <w:rPr>
          <w:rFonts w:hint="eastAsia" w:ascii="黑体" w:hAnsi="黑体" w:eastAsia="黑体"/>
          <w:b/>
          <w:sz w:val="36"/>
          <w:szCs w:val="36"/>
        </w:rPr>
        <w:t>编 制 说 明</w:t>
      </w:r>
    </w:p>
    <w:p>
      <w:pPr>
        <w:pStyle w:val="12"/>
        <w:adjustRightInd w:val="0"/>
        <w:snapToGrid w:val="0"/>
        <w:spacing w:before="0" w:beforeAutospacing="0" w:after="0" w:afterAutospacing="0" w:line="360" w:lineRule="auto"/>
        <w:ind w:firstLine="480" w:firstLineChars="200"/>
        <w:rPr>
          <w:szCs w:val="32"/>
        </w:rPr>
      </w:pPr>
      <w:r>
        <w:rPr>
          <w:rFonts w:hint="eastAsia"/>
          <w:szCs w:val="32"/>
        </w:rPr>
        <w:t>本专业人才培养方案在工程测量技术专业建设委员会指导下，由专任专业带头人速云中、专业教研室主任侯林锋</w:t>
      </w:r>
      <w:r>
        <w:rPr>
          <w:rFonts w:hint="eastAsia"/>
          <w:szCs w:val="32"/>
          <w:lang w:val="en-US" w:eastAsia="zh-CN"/>
        </w:rPr>
        <w:t>和惠州市宝山职业技术学校</w:t>
      </w:r>
      <w:r>
        <w:rPr>
          <w:rFonts w:hint="eastAsia"/>
          <w:szCs w:val="32"/>
        </w:rPr>
        <w:t>共同主持制定，经专家组论证及学院专业建设委员会审定，自</w:t>
      </w:r>
      <w:r>
        <w:rPr>
          <w:rFonts w:hint="eastAsia"/>
          <w:szCs w:val="32"/>
          <w:lang w:val="en-US" w:eastAsia="zh-CN"/>
        </w:rPr>
        <w:t>2020</w:t>
      </w:r>
      <w:r>
        <w:rPr>
          <w:rFonts w:hint="eastAsia"/>
          <w:szCs w:val="32"/>
        </w:rPr>
        <w:t>级执行。</w:t>
      </w:r>
    </w:p>
    <w:p>
      <w:pPr>
        <w:pStyle w:val="12"/>
        <w:adjustRightInd w:val="0"/>
        <w:snapToGrid w:val="0"/>
        <w:spacing w:before="0" w:beforeAutospacing="0" w:after="0" w:afterAutospacing="0" w:line="360" w:lineRule="auto"/>
        <w:ind w:firstLine="480" w:firstLineChars="200"/>
        <w:rPr>
          <w:szCs w:val="32"/>
        </w:rPr>
      </w:pPr>
      <w:r>
        <w:rPr>
          <w:rFonts w:hint="eastAsia"/>
          <w:szCs w:val="32"/>
        </w:rPr>
        <w:t>为了编制工程测量技术专业新的教学标准，工程测量教研室组织教师对广东省国土资源厅、广州市城市规划勘测设计研究院、珠海市测绘院、广州市建通测绘技术有限公司和中山市测绘工程有限公司等多家测绘龙头企事业单位进行了人才需求调研，并对201</w:t>
      </w:r>
      <w:r>
        <w:rPr>
          <w:rFonts w:hint="eastAsia"/>
          <w:szCs w:val="32"/>
          <w:lang w:val="en-US" w:eastAsia="zh-CN"/>
        </w:rPr>
        <w:t>7</w:t>
      </w:r>
      <w:r>
        <w:rPr>
          <w:rFonts w:hint="eastAsia"/>
          <w:szCs w:val="32"/>
        </w:rPr>
        <w:t>～201</w:t>
      </w:r>
      <w:r>
        <w:rPr>
          <w:rFonts w:hint="eastAsia"/>
          <w:szCs w:val="32"/>
          <w:lang w:val="en-US" w:eastAsia="zh-CN"/>
        </w:rPr>
        <w:t>9</w:t>
      </w:r>
      <w:r>
        <w:rPr>
          <w:rFonts w:hint="eastAsia"/>
          <w:szCs w:val="32"/>
        </w:rPr>
        <w:t>届的毕业生进行了跟踪调查。</w:t>
      </w:r>
    </w:p>
    <w:p>
      <w:pPr>
        <w:adjustRightInd w:val="0"/>
        <w:snapToGrid w:val="0"/>
        <w:spacing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该培养方案由七大部分和四个附件构成：第一部分为专业设置与定位，包括专业名称及代码、教育类型、招生范围及条件、基本学制与学历、培养目标、培养方式；第二部分为人才培养规格，包括基本素质要求、职业面向与能力要求；第三部分为工作任务分析与专业能力课程设置，包括典型工作任务与职业能力分析、实践教学课程体系设计；第四部分为人才培养模式与课程体系设计，包括人才培养模式、课程体系设计、学业评价和毕业要求；第五部分为教学计划，包括专业教学计划和专业教学计划实施说明；第六部分为教学进程总体安排；第七部分为实施保障，包括师资队伍、教学设施、教学资源、教学方法、教学评价和质量管理。四个附件分别为专业调研报告、课程标准、专家论证意见、专业人才培养方案实施审批表。</w:t>
      </w:r>
    </w:p>
    <w:p>
      <w:pPr>
        <w:pStyle w:val="12"/>
        <w:adjustRightInd w:val="0"/>
        <w:snapToGrid w:val="0"/>
        <w:spacing w:before="0" w:beforeAutospacing="0" w:after="0" w:afterAutospacing="0" w:line="360" w:lineRule="auto"/>
        <w:ind w:firstLine="720" w:firstLineChars="300"/>
        <w:rPr>
          <w:szCs w:val="32"/>
        </w:rPr>
      </w:pPr>
      <w:r>
        <w:rPr>
          <w:rFonts w:hint="eastAsia"/>
          <w:szCs w:val="32"/>
        </w:rPr>
        <w:t>专业带头人：速云中   广东工贸职业技术学院           院长、副教授</w:t>
      </w:r>
    </w:p>
    <w:p>
      <w:pPr>
        <w:pStyle w:val="12"/>
        <w:adjustRightInd w:val="0"/>
        <w:snapToGrid w:val="0"/>
        <w:spacing w:before="0" w:beforeAutospacing="0" w:after="0" w:afterAutospacing="0" w:line="360" w:lineRule="auto"/>
        <w:ind w:firstLine="2160" w:firstLineChars="900"/>
        <w:rPr>
          <w:szCs w:val="32"/>
        </w:rPr>
      </w:pPr>
      <w:r>
        <w:rPr>
          <w:rFonts w:hint="eastAsia"/>
          <w:szCs w:val="32"/>
        </w:rPr>
        <w:t>段  杰   广东核工业地质调查院           高工、副院长</w:t>
      </w:r>
    </w:p>
    <w:p>
      <w:pPr>
        <w:pStyle w:val="12"/>
        <w:adjustRightInd w:val="0"/>
        <w:snapToGrid w:val="0"/>
        <w:spacing w:before="0" w:beforeAutospacing="0" w:after="0" w:afterAutospacing="0" w:line="360" w:lineRule="auto"/>
        <w:ind w:firstLine="480" w:firstLineChars="200"/>
        <w:rPr>
          <w:szCs w:val="32"/>
        </w:rPr>
      </w:pPr>
      <w:r>
        <w:rPr>
          <w:rFonts w:hint="eastAsia"/>
          <w:szCs w:val="32"/>
        </w:rPr>
        <w:t>参与编制人员：李益强   广东工贸职业技术学院           副院长、讲师</w:t>
      </w:r>
    </w:p>
    <w:p>
      <w:pPr>
        <w:pStyle w:val="12"/>
        <w:adjustRightInd w:val="0"/>
        <w:snapToGrid w:val="0"/>
        <w:spacing w:before="0" w:beforeAutospacing="0" w:after="0" w:afterAutospacing="0" w:line="360" w:lineRule="auto"/>
        <w:ind w:firstLine="2160" w:firstLineChars="900"/>
        <w:rPr>
          <w:szCs w:val="32"/>
        </w:rPr>
      </w:pPr>
      <w:r>
        <w:rPr>
          <w:rFonts w:hint="eastAsia"/>
          <w:szCs w:val="32"/>
        </w:rPr>
        <w:t>高照忠   广东工贸职业技术学院          副院长、副教授</w:t>
      </w:r>
    </w:p>
    <w:p>
      <w:pPr>
        <w:pStyle w:val="12"/>
        <w:adjustRightInd w:val="0"/>
        <w:snapToGrid w:val="0"/>
        <w:spacing w:before="0" w:beforeAutospacing="0" w:after="0" w:afterAutospacing="0" w:line="360" w:lineRule="auto"/>
        <w:ind w:firstLine="2160" w:firstLineChars="900"/>
        <w:rPr>
          <w:szCs w:val="32"/>
        </w:rPr>
      </w:pPr>
      <w:r>
        <w:rPr>
          <w:rFonts w:hint="eastAsia"/>
          <w:szCs w:val="32"/>
        </w:rPr>
        <w:t>侯林锋   广东工贸职业技术学院           教研室主任</w:t>
      </w:r>
    </w:p>
    <w:p>
      <w:pPr>
        <w:pStyle w:val="12"/>
        <w:adjustRightInd w:val="0"/>
        <w:snapToGrid w:val="0"/>
        <w:spacing w:before="0" w:beforeAutospacing="0" w:after="0" w:afterAutospacing="0" w:line="360" w:lineRule="auto"/>
        <w:ind w:firstLine="2160" w:firstLineChars="900"/>
        <w:rPr>
          <w:szCs w:val="32"/>
        </w:rPr>
      </w:pPr>
      <w:r>
        <w:rPr>
          <w:rFonts w:hint="eastAsia"/>
          <w:szCs w:val="32"/>
        </w:rPr>
        <w:t>林  鸿   广州市城市规划勘测设计研究院   教授级高工</w:t>
      </w:r>
    </w:p>
    <w:p>
      <w:pPr>
        <w:pStyle w:val="12"/>
        <w:adjustRightInd w:val="0"/>
        <w:snapToGrid w:val="0"/>
        <w:spacing w:before="0" w:beforeAutospacing="0" w:after="0" w:afterAutospacing="0" w:line="360" w:lineRule="auto"/>
        <w:ind w:firstLine="2160" w:firstLineChars="900"/>
        <w:rPr>
          <w:szCs w:val="32"/>
        </w:rPr>
      </w:pPr>
      <w:r>
        <w:rPr>
          <w:rFonts w:hint="eastAsia"/>
          <w:szCs w:val="32"/>
        </w:rPr>
        <w:t>陈汉如   广州有色地质测绘院             院长、高工</w:t>
      </w:r>
    </w:p>
    <w:p>
      <w:pPr>
        <w:pStyle w:val="12"/>
        <w:adjustRightInd w:val="0"/>
        <w:snapToGrid w:val="0"/>
        <w:spacing w:before="0" w:beforeAutospacing="0" w:after="0" w:afterAutospacing="0" w:line="360" w:lineRule="auto"/>
        <w:ind w:firstLine="2160" w:firstLineChars="900"/>
        <w:rPr>
          <w:szCs w:val="32"/>
        </w:rPr>
      </w:pPr>
      <w:r>
        <w:rPr>
          <w:rFonts w:hint="eastAsia"/>
          <w:szCs w:val="32"/>
        </w:rPr>
        <w:t>钟焕良   广东省国土资源测绘院           副站长、高工</w:t>
      </w:r>
    </w:p>
    <w:p>
      <w:pPr>
        <w:pStyle w:val="12"/>
        <w:adjustRightInd w:val="0"/>
        <w:snapToGrid w:val="0"/>
        <w:spacing w:before="0" w:beforeAutospacing="0" w:after="0" w:afterAutospacing="0" w:line="360" w:lineRule="auto"/>
        <w:ind w:firstLine="2160" w:firstLineChars="900"/>
        <w:rPr>
          <w:szCs w:val="32"/>
        </w:rPr>
      </w:pPr>
      <w:r>
        <w:rPr>
          <w:rFonts w:hint="eastAsia"/>
          <w:szCs w:val="32"/>
        </w:rPr>
        <w:t>陈中杰   广州市建通测绘技术有限公司     总经理</w:t>
      </w:r>
    </w:p>
    <w:p>
      <w:pPr>
        <w:adjustRightInd w:val="0"/>
        <w:snapToGrid w:val="0"/>
        <w:spacing w:line="360" w:lineRule="auto"/>
        <w:ind w:left="4410" w:leftChars="2100" w:firstLine="480" w:firstLineChars="200"/>
        <w:jc w:val="center"/>
        <w:rPr>
          <w:rFonts w:ascii="Times New Roman" w:hAnsi="Times New Roman"/>
          <w:sz w:val="24"/>
        </w:rPr>
      </w:pPr>
    </w:p>
    <w:p>
      <w:pPr>
        <w:adjustRightInd w:val="0"/>
        <w:snapToGrid w:val="0"/>
        <w:spacing w:line="360" w:lineRule="auto"/>
        <w:ind w:left="4410" w:leftChars="2100" w:firstLine="480" w:firstLineChars="200"/>
        <w:jc w:val="center"/>
        <w:rPr>
          <w:rFonts w:ascii="Times New Roman" w:hAnsi="Times New Roman"/>
          <w:sz w:val="24"/>
        </w:rPr>
      </w:pPr>
      <w:r>
        <w:rPr>
          <w:rFonts w:hint="eastAsia" w:ascii="Times New Roman" w:hAnsi="Times New Roman"/>
          <w:sz w:val="24"/>
        </w:rPr>
        <w:t>工程测量技术专业教研室</w:t>
      </w:r>
    </w:p>
    <w:p>
      <w:pPr>
        <w:adjustRightInd w:val="0"/>
        <w:snapToGrid w:val="0"/>
        <w:spacing w:line="360" w:lineRule="auto"/>
        <w:ind w:left="4410" w:leftChars="2100" w:firstLine="480" w:firstLineChars="200"/>
        <w:jc w:val="center"/>
        <w:rPr>
          <w:rFonts w:hint="default" w:ascii="Times New Roman" w:hAnsi="Times New Roman" w:eastAsiaTheme="minorEastAsia"/>
          <w:sz w:val="24"/>
          <w:lang w:val="en-US" w:eastAsia="zh-CN"/>
        </w:rPr>
      </w:pPr>
      <w:r>
        <w:rPr>
          <w:rFonts w:hint="eastAsia" w:ascii="Times New Roman" w:hAnsi="Times New Roman"/>
          <w:sz w:val="24"/>
        </w:rPr>
        <w:t>2019.</w:t>
      </w:r>
      <w:r>
        <w:rPr>
          <w:rFonts w:hint="eastAsia" w:ascii="Times New Roman" w:hAnsi="Times New Roman"/>
          <w:sz w:val="24"/>
          <w:lang w:val="en-US" w:eastAsia="zh-CN"/>
        </w:rPr>
        <w:t>12</w:t>
      </w:r>
    </w:p>
    <w:p>
      <w:pPr>
        <w:widowControl/>
        <w:jc w:val="left"/>
        <w:rPr>
          <w:rFonts w:ascii="Times New Roman" w:hAnsi="Times New Roman"/>
          <w:sz w:val="24"/>
        </w:rPr>
      </w:pPr>
      <w:r>
        <w:rPr>
          <w:rFonts w:ascii="Times New Roman" w:hAnsi="Times New Roman"/>
          <w:sz w:val="24"/>
        </w:rPr>
        <w:br w:type="page"/>
      </w:r>
    </w:p>
    <w:sdt>
      <w:sdtPr>
        <w:rPr>
          <w:rFonts w:asciiTheme="minorHAnsi" w:hAnsiTheme="minorHAnsi" w:eastAsiaTheme="minorEastAsia" w:cstheme="minorBidi"/>
          <w:b w:val="0"/>
          <w:bCs w:val="0"/>
          <w:color w:val="auto"/>
          <w:kern w:val="2"/>
          <w:sz w:val="21"/>
          <w:szCs w:val="22"/>
          <w:lang w:val="zh-CN"/>
        </w:rPr>
        <w:id w:val="-533261476"/>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pPr>
            <w:pStyle w:val="25"/>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目录</w:t>
          </w:r>
        </w:p>
        <w:p>
          <w:pPr>
            <w:pStyle w:val="9"/>
            <w:tabs>
              <w:tab w:val="right" w:leader="dot" w:pos="9436"/>
            </w:tabs>
            <w:spacing w:line="440" w:lineRule="exact"/>
          </w:pPr>
          <w:r>
            <w:fldChar w:fldCharType="begin"/>
          </w:r>
          <w:r>
            <w:instrText xml:space="preserve"> TOC \o "1-3" \h \z \u </w:instrText>
          </w:r>
          <w:r>
            <w:fldChar w:fldCharType="separate"/>
          </w:r>
          <w:r>
            <w:fldChar w:fldCharType="begin"/>
          </w:r>
          <w:r>
            <w:instrText xml:space="preserve"> HYPERLINK \l "_Toc7340051" </w:instrText>
          </w:r>
          <w:r>
            <w:fldChar w:fldCharType="separate"/>
          </w:r>
          <w:r>
            <w:rPr>
              <w:rStyle w:val="18"/>
            </w:rPr>
            <w:t>一、专业设置与定位</w:t>
          </w:r>
          <w:r>
            <w:tab/>
          </w:r>
          <w:r>
            <w:fldChar w:fldCharType="begin"/>
          </w:r>
          <w:r>
            <w:instrText xml:space="preserve"> PAGEREF _Toc7340051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"_Toc7340052" </w:instrText>
          </w:r>
          <w:r>
            <w:fldChar w:fldCharType="separate"/>
          </w:r>
          <w:r>
            <w:rPr>
              <w:rStyle w:val="18"/>
            </w:rPr>
            <w:t>1.【专业名称及代码】</w:t>
          </w:r>
          <w:r>
            <w:tab/>
          </w:r>
          <w:r>
            <w:fldChar w:fldCharType="begin"/>
          </w:r>
          <w:r>
            <w:instrText xml:space="preserve"> PAGEREF _Toc7340052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"_Toc7340053" </w:instrText>
          </w:r>
          <w:r>
            <w:fldChar w:fldCharType="separate"/>
          </w:r>
          <w:r>
            <w:rPr>
              <w:rStyle w:val="18"/>
            </w:rPr>
            <w:t>2.【教育类型】</w:t>
          </w:r>
          <w:r>
            <w:tab/>
          </w:r>
          <w:r>
            <w:fldChar w:fldCharType="begin"/>
          </w:r>
          <w:r>
            <w:instrText xml:space="preserve"> PAGEREF _Toc7340053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"_Toc7340054" </w:instrText>
          </w:r>
          <w:r>
            <w:fldChar w:fldCharType="separate"/>
          </w:r>
          <w:r>
            <w:rPr>
              <w:rStyle w:val="18"/>
            </w:rPr>
            <w:t>3.【招生范围及条件】</w:t>
          </w:r>
          <w:r>
            <w:tab/>
          </w:r>
          <w:r>
            <w:fldChar w:fldCharType="begin"/>
          </w:r>
          <w:r>
            <w:instrText xml:space="preserve"> PAGEREF _Toc7340054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"_Toc7340055" </w:instrText>
          </w:r>
          <w:r>
            <w:fldChar w:fldCharType="separate"/>
          </w:r>
          <w:r>
            <w:rPr>
              <w:rStyle w:val="18"/>
            </w:rPr>
            <w:t>4.【基本学制与学历】</w:t>
          </w:r>
          <w:r>
            <w:tab/>
          </w:r>
          <w:r>
            <w:fldChar w:fldCharType="begin"/>
          </w:r>
          <w:r>
            <w:instrText xml:space="preserve"> PAGEREF _Toc7340055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"_Toc7340056" </w:instrText>
          </w:r>
          <w:r>
            <w:fldChar w:fldCharType="separate"/>
          </w:r>
          <w:r>
            <w:rPr>
              <w:rStyle w:val="18"/>
            </w:rPr>
            <w:t>5.【培养目标】</w:t>
          </w:r>
          <w:r>
            <w:tab/>
          </w:r>
          <w:r>
            <w:fldChar w:fldCharType="begin"/>
          </w:r>
          <w:r>
            <w:instrText xml:space="preserve"> PAGEREF _Toc7340056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"_Toc7340057" </w:instrText>
          </w:r>
          <w:r>
            <w:fldChar w:fldCharType="separate"/>
          </w:r>
          <w:r>
            <w:rPr>
              <w:rStyle w:val="18"/>
            </w:rPr>
            <w:t>6.【培养方式】</w:t>
          </w:r>
          <w:r>
            <w:tab/>
          </w:r>
          <w:r>
            <w:fldChar w:fldCharType="begin"/>
          </w:r>
          <w:r>
            <w:instrText xml:space="preserve"> PAGEREF _Toc7340057 \h </w:instrText>
          </w:r>
          <w:r>
            <w:fldChar w:fldCharType="separate"/>
          </w:r>
          <w:r>
            <w:t>4</w:t>
          </w:r>
          <w:r>
            <w:fldChar w:fldCharType="end"/>
          </w:r>
          <w:r>
            <w:fldChar w:fldCharType="end"/>
          </w:r>
        </w:p>
        <w:p>
          <w:pPr>
            <w:pStyle w:val="9"/>
            <w:tabs>
              <w:tab w:val="right" w:leader="dot" w:pos="9436"/>
            </w:tabs>
            <w:spacing w:line="440" w:lineRule="exact"/>
          </w:pPr>
          <w:r>
            <w:fldChar w:fldCharType="begin"/>
          </w:r>
          <w:r>
            <w:instrText xml:space="preserve"> HYPERLINK \l "_Toc7340058" </w:instrText>
          </w:r>
          <w:r>
            <w:fldChar w:fldCharType="separate"/>
          </w:r>
          <w:r>
            <w:rPr>
              <w:rStyle w:val="18"/>
            </w:rPr>
            <w:t>二、人才培养规格</w:t>
          </w:r>
          <w:r>
            <w:tab/>
          </w:r>
          <w:r>
            <w:fldChar w:fldCharType="begin"/>
          </w:r>
          <w:r>
            <w:instrText xml:space="preserve"> PAGEREF _Toc7340058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"_Toc7340059" </w:instrText>
          </w:r>
          <w:r>
            <w:fldChar w:fldCharType="separate"/>
          </w:r>
          <w:r>
            <w:rPr>
              <w:rStyle w:val="18"/>
            </w:rPr>
            <w:t>1.【基本素质要求】</w:t>
          </w:r>
          <w:r>
            <w:tab/>
          </w:r>
          <w:r>
            <w:fldChar w:fldCharType="begin"/>
          </w:r>
          <w:r>
            <w:instrText xml:space="preserve"> PAGEREF _Toc7340059 \h </w:instrText>
          </w:r>
          <w:r>
            <w:fldChar w:fldCharType="separate"/>
          </w:r>
          <w:r>
            <w:t>4</w:t>
          </w:r>
          <w:r>
            <w:fldChar w:fldCharType="end"/>
          </w:r>
          <w:r>
            <w:fldChar w:fldCharType="end"/>
          </w:r>
        </w:p>
        <w:p>
          <w:pPr>
            <w:pStyle w:val="10"/>
            <w:tabs>
              <w:tab w:val="right" w:leader="dot" w:pos="9436"/>
            </w:tabs>
            <w:spacing w:line="440" w:lineRule="exact"/>
          </w:pPr>
          <w:r>
            <w:fldChar w:fldCharType="begin"/>
          </w:r>
          <w:r>
            <w:instrText xml:space="preserve"> HYPERLINK \l "_Toc7340060" </w:instrText>
          </w:r>
          <w:r>
            <w:fldChar w:fldCharType="separate"/>
          </w:r>
          <w:r>
            <w:rPr>
              <w:rStyle w:val="18"/>
            </w:rPr>
            <w:t>2.【职业面向与能力要求】</w:t>
          </w:r>
          <w:r>
            <w:tab/>
          </w:r>
          <w:r>
            <w:fldChar w:fldCharType="begin"/>
          </w:r>
          <w:r>
            <w:instrText xml:space="preserve"> PAGEREF _Toc7340060 \h </w:instrText>
          </w:r>
          <w:r>
            <w:fldChar w:fldCharType="separate"/>
          </w:r>
          <w:r>
            <w:t>5</w:t>
          </w:r>
          <w:r>
            <w:fldChar w:fldCharType="end"/>
          </w:r>
          <w:r>
            <w:fldChar w:fldCharType="end"/>
          </w:r>
        </w:p>
        <w:p>
          <w:pPr>
            <w:pStyle w:val="9"/>
            <w:tabs>
              <w:tab w:val="right" w:leader="dot" w:pos="9436"/>
            </w:tabs>
            <w:spacing w:line="440" w:lineRule="exact"/>
          </w:pPr>
          <w:r>
            <w:fldChar w:fldCharType="begin"/>
          </w:r>
          <w:r>
            <w:instrText xml:space="preserve"> HYPERLINK \l "_Toc7340061" </w:instrText>
          </w:r>
          <w:r>
            <w:fldChar w:fldCharType="separate"/>
          </w:r>
          <w:r>
            <w:rPr>
              <w:rStyle w:val="18"/>
            </w:rPr>
            <w:t>三、工作任务分析与专业能力课程设置</w:t>
          </w:r>
          <w:r>
            <w:tab/>
          </w:r>
          <w:r>
            <w:fldChar w:fldCharType="begin"/>
          </w:r>
          <w:r>
            <w:instrText xml:space="preserve"> PAGEREF _Toc7340061 \h </w:instrText>
          </w:r>
          <w:r>
            <w:fldChar w:fldCharType="separate"/>
          </w:r>
          <w:r>
            <w:t>7</w:t>
          </w:r>
          <w:r>
            <w:fldChar w:fldCharType="end"/>
          </w:r>
          <w:r>
            <w:fldChar w:fldCharType="end"/>
          </w:r>
        </w:p>
        <w:p>
          <w:pPr>
            <w:pStyle w:val="10"/>
            <w:tabs>
              <w:tab w:val="right" w:leader="dot" w:pos="9436"/>
            </w:tabs>
            <w:spacing w:line="440" w:lineRule="exact"/>
          </w:pPr>
          <w:r>
            <w:fldChar w:fldCharType="begin"/>
          </w:r>
          <w:r>
            <w:instrText xml:space="preserve"> HYPERLINK \l "_Toc7340062" </w:instrText>
          </w:r>
          <w:r>
            <w:fldChar w:fldCharType="separate"/>
          </w:r>
          <w:r>
            <w:rPr>
              <w:rStyle w:val="18"/>
            </w:rPr>
            <w:t>1.【典型工作任务与职业能力分析】</w:t>
          </w:r>
          <w:r>
            <w:tab/>
          </w:r>
          <w:r>
            <w:fldChar w:fldCharType="begin"/>
          </w:r>
          <w:r>
            <w:instrText xml:space="preserve"> PAGEREF _Toc7340062 \h </w:instrText>
          </w:r>
          <w:r>
            <w:fldChar w:fldCharType="separate"/>
          </w:r>
          <w:r>
            <w:t>7</w:t>
          </w:r>
          <w:r>
            <w:fldChar w:fldCharType="end"/>
          </w:r>
          <w:r>
            <w:fldChar w:fldCharType="end"/>
          </w:r>
        </w:p>
        <w:p>
          <w:pPr>
            <w:pStyle w:val="10"/>
            <w:tabs>
              <w:tab w:val="right" w:leader="dot" w:pos="9436"/>
            </w:tabs>
            <w:spacing w:line="440" w:lineRule="exact"/>
          </w:pPr>
          <w:r>
            <w:fldChar w:fldCharType="begin"/>
          </w:r>
          <w:r>
            <w:instrText xml:space="preserve"> HYPERLINK \l "_Toc7340063" </w:instrText>
          </w:r>
          <w:r>
            <w:fldChar w:fldCharType="separate"/>
          </w:r>
          <w:r>
            <w:rPr>
              <w:rStyle w:val="18"/>
            </w:rPr>
            <w:t>2.【实践教学课程体系设计】</w:t>
          </w:r>
          <w:r>
            <w:tab/>
          </w:r>
          <w:r>
            <w:fldChar w:fldCharType="begin"/>
          </w:r>
          <w:r>
            <w:instrText xml:space="preserve"> PAGEREF _Toc7340063 \h </w:instrText>
          </w:r>
          <w:r>
            <w:fldChar w:fldCharType="separate"/>
          </w:r>
          <w:r>
            <w:t>9</w:t>
          </w:r>
          <w:r>
            <w:fldChar w:fldCharType="end"/>
          </w:r>
          <w:r>
            <w:fldChar w:fldCharType="end"/>
          </w:r>
        </w:p>
        <w:p>
          <w:pPr>
            <w:pStyle w:val="9"/>
            <w:tabs>
              <w:tab w:val="right" w:leader="dot" w:pos="9436"/>
            </w:tabs>
            <w:spacing w:line="440" w:lineRule="exact"/>
          </w:pPr>
          <w:r>
            <w:fldChar w:fldCharType="begin"/>
          </w:r>
          <w:r>
            <w:instrText xml:space="preserve"> HYPERLINK \l "_Toc7340064" </w:instrText>
          </w:r>
          <w:r>
            <w:fldChar w:fldCharType="separate"/>
          </w:r>
          <w:r>
            <w:rPr>
              <w:rStyle w:val="18"/>
            </w:rPr>
            <w:t>四、人才培养模式与课程体系设计</w:t>
          </w:r>
          <w:r>
            <w:tab/>
          </w:r>
          <w:r>
            <w:fldChar w:fldCharType="begin"/>
          </w:r>
          <w:r>
            <w:instrText xml:space="preserve"> PAGEREF _Toc7340064 \h </w:instrText>
          </w:r>
          <w:r>
            <w:fldChar w:fldCharType="separate"/>
          </w:r>
          <w:r>
            <w:t>10</w:t>
          </w:r>
          <w:r>
            <w:fldChar w:fldCharType="end"/>
          </w:r>
          <w:r>
            <w:fldChar w:fldCharType="end"/>
          </w:r>
        </w:p>
        <w:p>
          <w:pPr>
            <w:pStyle w:val="10"/>
            <w:tabs>
              <w:tab w:val="right" w:leader="dot" w:pos="9436"/>
            </w:tabs>
            <w:spacing w:line="440" w:lineRule="exact"/>
          </w:pPr>
          <w:r>
            <w:fldChar w:fldCharType="begin"/>
          </w:r>
          <w:r>
            <w:instrText xml:space="preserve"> HYPERLINK \l "_Toc7340065" </w:instrText>
          </w:r>
          <w:r>
            <w:fldChar w:fldCharType="separate"/>
          </w:r>
          <w:r>
            <w:rPr>
              <w:rStyle w:val="18"/>
            </w:rPr>
            <w:t>1.【人才培养模式】</w:t>
          </w:r>
          <w:r>
            <w:tab/>
          </w:r>
          <w:r>
            <w:fldChar w:fldCharType="begin"/>
          </w:r>
          <w:r>
            <w:instrText xml:space="preserve"> PAGEREF _Toc7340065 \h </w:instrText>
          </w:r>
          <w:r>
            <w:fldChar w:fldCharType="separate"/>
          </w:r>
          <w:r>
            <w:t>10</w:t>
          </w:r>
          <w:r>
            <w:fldChar w:fldCharType="end"/>
          </w:r>
          <w:r>
            <w:fldChar w:fldCharType="end"/>
          </w:r>
        </w:p>
        <w:p>
          <w:pPr>
            <w:pStyle w:val="10"/>
            <w:tabs>
              <w:tab w:val="right" w:leader="dot" w:pos="9436"/>
            </w:tabs>
            <w:spacing w:line="440" w:lineRule="exact"/>
          </w:pPr>
          <w:r>
            <w:fldChar w:fldCharType="begin"/>
          </w:r>
          <w:r>
            <w:instrText xml:space="preserve"> HYPERLINK \l "_Toc7340066" </w:instrText>
          </w:r>
          <w:r>
            <w:fldChar w:fldCharType="separate"/>
          </w:r>
          <w:r>
            <w:rPr>
              <w:rStyle w:val="18"/>
            </w:rPr>
            <w:t>2.【课程体系设计】</w:t>
          </w:r>
          <w:r>
            <w:tab/>
          </w:r>
          <w:r>
            <w:fldChar w:fldCharType="begin"/>
          </w:r>
          <w:r>
            <w:instrText xml:space="preserve"> PAGEREF _Toc7340066 \h </w:instrText>
          </w:r>
          <w:r>
            <w:fldChar w:fldCharType="separate"/>
          </w:r>
          <w:r>
            <w:t>10</w:t>
          </w:r>
          <w:r>
            <w:fldChar w:fldCharType="end"/>
          </w:r>
          <w:r>
            <w:fldChar w:fldCharType="end"/>
          </w:r>
        </w:p>
        <w:p>
          <w:pPr>
            <w:pStyle w:val="10"/>
            <w:tabs>
              <w:tab w:val="right" w:leader="dot" w:pos="9436"/>
            </w:tabs>
            <w:spacing w:line="440" w:lineRule="exact"/>
          </w:pPr>
          <w:r>
            <w:fldChar w:fldCharType="begin"/>
          </w:r>
          <w:r>
            <w:instrText xml:space="preserve"> HYPERLINK \l "_Toc7340067" </w:instrText>
          </w:r>
          <w:r>
            <w:fldChar w:fldCharType="separate"/>
          </w:r>
          <w:r>
            <w:rPr>
              <w:rStyle w:val="18"/>
            </w:rPr>
            <w:t>3.【学业评价】</w:t>
          </w:r>
          <w:r>
            <w:tab/>
          </w:r>
          <w:r>
            <w:fldChar w:fldCharType="begin"/>
          </w:r>
          <w:r>
            <w:instrText xml:space="preserve"> PAGEREF _Toc7340067 \h </w:instrText>
          </w:r>
          <w:r>
            <w:fldChar w:fldCharType="separate"/>
          </w:r>
          <w:r>
            <w:t>17</w:t>
          </w:r>
          <w:r>
            <w:fldChar w:fldCharType="end"/>
          </w:r>
          <w:r>
            <w:fldChar w:fldCharType="end"/>
          </w:r>
        </w:p>
        <w:p>
          <w:pPr>
            <w:pStyle w:val="10"/>
            <w:tabs>
              <w:tab w:val="right" w:leader="dot" w:pos="9436"/>
            </w:tabs>
            <w:spacing w:line="440" w:lineRule="exact"/>
          </w:pPr>
          <w:r>
            <w:fldChar w:fldCharType="begin"/>
          </w:r>
          <w:r>
            <w:instrText xml:space="preserve"> HYPERLINK \l "_Toc7340068" </w:instrText>
          </w:r>
          <w:r>
            <w:fldChar w:fldCharType="separate"/>
          </w:r>
          <w:r>
            <w:rPr>
              <w:rStyle w:val="18"/>
            </w:rPr>
            <w:t>4.【毕业要求】</w:t>
          </w:r>
          <w:r>
            <w:tab/>
          </w:r>
          <w:r>
            <w:fldChar w:fldCharType="begin"/>
          </w:r>
          <w:r>
            <w:instrText xml:space="preserve"> PAGEREF _Toc7340068 \h </w:instrText>
          </w:r>
          <w:r>
            <w:fldChar w:fldCharType="separate"/>
          </w:r>
          <w:r>
            <w:t>17</w:t>
          </w:r>
          <w:r>
            <w:fldChar w:fldCharType="end"/>
          </w:r>
          <w:r>
            <w:fldChar w:fldCharType="end"/>
          </w:r>
        </w:p>
        <w:p>
          <w:pPr>
            <w:pStyle w:val="9"/>
            <w:tabs>
              <w:tab w:val="right" w:leader="dot" w:pos="9436"/>
            </w:tabs>
            <w:spacing w:line="440" w:lineRule="exact"/>
          </w:pPr>
          <w:r>
            <w:fldChar w:fldCharType="begin"/>
          </w:r>
          <w:r>
            <w:instrText xml:space="preserve"> HYPERLINK \l "_Toc7340069" </w:instrText>
          </w:r>
          <w:r>
            <w:fldChar w:fldCharType="separate"/>
          </w:r>
          <w:r>
            <w:rPr>
              <w:rStyle w:val="18"/>
            </w:rPr>
            <w:t>五、教学计划</w:t>
          </w:r>
          <w:r>
            <w:tab/>
          </w:r>
          <w:r>
            <w:fldChar w:fldCharType="begin"/>
          </w:r>
          <w:r>
            <w:instrText xml:space="preserve"> PAGEREF _Toc7340069 \h </w:instrText>
          </w:r>
          <w:r>
            <w:fldChar w:fldCharType="separate"/>
          </w:r>
          <w:r>
            <w:t>19</w:t>
          </w:r>
          <w:r>
            <w:fldChar w:fldCharType="end"/>
          </w:r>
          <w:r>
            <w:fldChar w:fldCharType="end"/>
          </w:r>
        </w:p>
        <w:p>
          <w:pPr>
            <w:pStyle w:val="10"/>
            <w:tabs>
              <w:tab w:val="right" w:leader="dot" w:pos="9436"/>
            </w:tabs>
            <w:spacing w:line="440" w:lineRule="exact"/>
          </w:pPr>
          <w:r>
            <w:fldChar w:fldCharType="begin"/>
          </w:r>
          <w:r>
            <w:instrText xml:space="preserve"> HYPERLINK \l "_Toc7340070" </w:instrText>
          </w:r>
          <w:r>
            <w:fldChar w:fldCharType="separate"/>
          </w:r>
          <w:r>
            <w:rPr>
              <w:rStyle w:val="18"/>
            </w:rPr>
            <w:t>1.【专业教学计划】</w:t>
          </w:r>
          <w:r>
            <w:tab/>
          </w:r>
          <w:r>
            <w:fldChar w:fldCharType="begin"/>
          </w:r>
          <w:r>
            <w:instrText xml:space="preserve"> PAGEREF _Toc7340070 \h </w:instrText>
          </w:r>
          <w:r>
            <w:fldChar w:fldCharType="separate"/>
          </w:r>
          <w:r>
            <w:t>19</w:t>
          </w:r>
          <w:r>
            <w:fldChar w:fldCharType="end"/>
          </w:r>
          <w:r>
            <w:fldChar w:fldCharType="end"/>
          </w:r>
        </w:p>
        <w:p>
          <w:pPr>
            <w:pStyle w:val="10"/>
            <w:tabs>
              <w:tab w:val="right" w:leader="dot" w:pos="9436"/>
            </w:tabs>
            <w:spacing w:line="440" w:lineRule="exact"/>
          </w:pPr>
          <w:r>
            <w:fldChar w:fldCharType="begin"/>
          </w:r>
          <w:r>
            <w:instrText xml:space="preserve"> HYPERLINK \l "_Toc7340071" </w:instrText>
          </w:r>
          <w:r>
            <w:fldChar w:fldCharType="separate"/>
          </w:r>
          <w:r>
            <w:rPr>
              <w:rStyle w:val="18"/>
            </w:rPr>
            <w:t>2.【专业教学计划实施说明】</w:t>
          </w:r>
          <w:r>
            <w:tab/>
          </w:r>
          <w:r>
            <w:fldChar w:fldCharType="begin"/>
          </w:r>
          <w:r>
            <w:instrText xml:space="preserve"> PAGEREF _Toc7340071 \h </w:instrText>
          </w:r>
          <w:r>
            <w:fldChar w:fldCharType="separate"/>
          </w:r>
          <w:r>
            <w:t>21</w:t>
          </w:r>
          <w:r>
            <w:fldChar w:fldCharType="end"/>
          </w:r>
          <w:r>
            <w:fldChar w:fldCharType="end"/>
          </w:r>
        </w:p>
        <w:p>
          <w:pPr>
            <w:pStyle w:val="9"/>
            <w:tabs>
              <w:tab w:val="right" w:leader="dot" w:pos="9436"/>
            </w:tabs>
            <w:spacing w:line="440" w:lineRule="exact"/>
          </w:pPr>
          <w:r>
            <w:fldChar w:fldCharType="begin"/>
          </w:r>
          <w:r>
            <w:instrText xml:space="preserve"> HYPERLINK \l "_Toc7340072" </w:instrText>
          </w:r>
          <w:r>
            <w:fldChar w:fldCharType="separate"/>
          </w:r>
          <w:r>
            <w:rPr>
              <w:rStyle w:val="18"/>
            </w:rPr>
            <w:t>六、教学进程总体安排</w:t>
          </w:r>
          <w:r>
            <w:tab/>
          </w:r>
          <w:r>
            <w:fldChar w:fldCharType="begin"/>
          </w:r>
          <w:r>
            <w:instrText xml:space="preserve"> PAGEREF _Toc7340072 \h </w:instrText>
          </w:r>
          <w:r>
            <w:fldChar w:fldCharType="separate"/>
          </w:r>
          <w:r>
            <w:t>21</w:t>
          </w:r>
          <w:r>
            <w:fldChar w:fldCharType="end"/>
          </w:r>
          <w:r>
            <w:fldChar w:fldCharType="end"/>
          </w:r>
        </w:p>
        <w:p>
          <w:pPr>
            <w:pStyle w:val="9"/>
            <w:tabs>
              <w:tab w:val="right" w:leader="dot" w:pos="9436"/>
            </w:tabs>
            <w:spacing w:line="440" w:lineRule="exact"/>
          </w:pPr>
          <w:r>
            <w:fldChar w:fldCharType="begin"/>
          </w:r>
          <w:r>
            <w:instrText xml:space="preserve"> HYPERLINK \l "_Toc7340073" </w:instrText>
          </w:r>
          <w:r>
            <w:fldChar w:fldCharType="separate"/>
          </w:r>
          <w:r>
            <w:rPr>
              <w:rStyle w:val="18"/>
            </w:rPr>
            <w:t>七、实施保障</w:t>
          </w:r>
          <w:r>
            <w:tab/>
          </w:r>
          <w:r>
            <w:fldChar w:fldCharType="begin"/>
          </w:r>
          <w:r>
            <w:instrText xml:space="preserve"> PAGEREF _Toc7340073 \h </w:instrText>
          </w:r>
          <w:r>
            <w:fldChar w:fldCharType="separate"/>
          </w:r>
          <w:r>
            <w:t>24</w:t>
          </w:r>
          <w:r>
            <w:fldChar w:fldCharType="end"/>
          </w:r>
          <w:r>
            <w:fldChar w:fldCharType="end"/>
          </w:r>
        </w:p>
        <w:p>
          <w:pPr>
            <w:pStyle w:val="10"/>
            <w:tabs>
              <w:tab w:val="right" w:leader="dot" w:pos="9436"/>
            </w:tabs>
            <w:spacing w:line="440" w:lineRule="exact"/>
          </w:pPr>
          <w:r>
            <w:fldChar w:fldCharType="begin"/>
          </w:r>
          <w:r>
            <w:instrText xml:space="preserve"> HYPERLINK \l "_Toc7340074" </w:instrText>
          </w:r>
          <w:r>
            <w:fldChar w:fldCharType="separate"/>
          </w:r>
          <w:r>
            <w:rPr>
              <w:rStyle w:val="18"/>
            </w:rPr>
            <w:t>1.【师资队伍】</w:t>
          </w:r>
          <w:r>
            <w:tab/>
          </w:r>
          <w:r>
            <w:fldChar w:fldCharType="begin"/>
          </w:r>
          <w:r>
            <w:instrText xml:space="preserve"> PAGEREF _Toc7340074 \h </w:instrText>
          </w:r>
          <w:r>
            <w:fldChar w:fldCharType="separate"/>
          </w:r>
          <w:r>
            <w:t>24</w:t>
          </w:r>
          <w:r>
            <w:fldChar w:fldCharType="end"/>
          </w:r>
          <w:r>
            <w:fldChar w:fldCharType="end"/>
          </w:r>
        </w:p>
        <w:p>
          <w:pPr>
            <w:pStyle w:val="10"/>
            <w:tabs>
              <w:tab w:val="right" w:leader="dot" w:pos="9436"/>
            </w:tabs>
            <w:spacing w:line="440" w:lineRule="exact"/>
          </w:pPr>
          <w:r>
            <w:fldChar w:fldCharType="begin"/>
          </w:r>
          <w:r>
            <w:instrText xml:space="preserve"> HYPERLINK \l "_Toc7340075" </w:instrText>
          </w:r>
          <w:r>
            <w:fldChar w:fldCharType="separate"/>
          </w:r>
          <w:r>
            <w:rPr>
              <w:rStyle w:val="18"/>
            </w:rPr>
            <w:t>2.【教学设施】</w:t>
          </w:r>
          <w:r>
            <w:tab/>
          </w:r>
          <w:r>
            <w:fldChar w:fldCharType="begin"/>
          </w:r>
          <w:r>
            <w:instrText xml:space="preserve"> PAGEREF _Toc7340075 \h </w:instrText>
          </w:r>
          <w:r>
            <w:fldChar w:fldCharType="separate"/>
          </w:r>
          <w:r>
            <w:t>24</w:t>
          </w:r>
          <w:r>
            <w:fldChar w:fldCharType="end"/>
          </w:r>
          <w:r>
            <w:fldChar w:fldCharType="end"/>
          </w:r>
        </w:p>
        <w:p>
          <w:pPr>
            <w:pStyle w:val="10"/>
            <w:tabs>
              <w:tab w:val="right" w:leader="dot" w:pos="9436"/>
            </w:tabs>
            <w:spacing w:line="440" w:lineRule="exact"/>
          </w:pPr>
          <w:r>
            <w:fldChar w:fldCharType="begin"/>
          </w:r>
          <w:r>
            <w:instrText xml:space="preserve"> HYPERLINK \l "_Toc7340076" </w:instrText>
          </w:r>
          <w:r>
            <w:fldChar w:fldCharType="separate"/>
          </w:r>
          <w:r>
            <w:rPr>
              <w:rStyle w:val="18"/>
            </w:rPr>
            <w:t>3.【教学资源】</w:t>
          </w:r>
          <w:r>
            <w:tab/>
          </w:r>
          <w:r>
            <w:fldChar w:fldCharType="begin"/>
          </w:r>
          <w:r>
            <w:instrText xml:space="preserve"> PAGEREF _Toc7340076 \h </w:instrText>
          </w:r>
          <w:r>
            <w:fldChar w:fldCharType="separate"/>
          </w:r>
          <w:r>
            <w:t>25</w:t>
          </w:r>
          <w:r>
            <w:fldChar w:fldCharType="end"/>
          </w:r>
          <w:r>
            <w:fldChar w:fldCharType="end"/>
          </w:r>
        </w:p>
        <w:p>
          <w:pPr>
            <w:pStyle w:val="10"/>
            <w:tabs>
              <w:tab w:val="right" w:leader="dot" w:pos="9436"/>
            </w:tabs>
            <w:spacing w:line="440" w:lineRule="exact"/>
          </w:pPr>
          <w:r>
            <w:fldChar w:fldCharType="begin"/>
          </w:r>
          <w:r>
            <w:instrText xml:space="preserve"> HYPERLINK \l "_Toc7340077" </w:instrText>
          </w:r>
          <w:r>
            <w:fldChar w:fldCharType="separate"/>
          </w:r>
          <w:r>
            <w:rPr>
              <w:rStyle w:val="18"/>
            </w:rPr>
            <w:t>4.【教学方法】</w:t>
          </w:r>
          <w:r>
            <w:tab/>
          </w:r>
          <w:r>
            <w:fldChar w:fldCharType="begin"/>
          </w:r>
          <w:r>
            <w:instrText xml:space="preserve"> PAGEREF _Toc7340077 \h </w:instrText>
          </w:r>
          <w:r>
            <w:fldChar w:fldCharType="separate"/>
          </w:r>
          <w:r>
            <w:t>25</w:t>
          </w:r>
          <w:r>
            <w:fldChar w:fldCharType="end"/>
          </w:r>
          <w:r>
            <w:fldChar w:fldCharType="end"/>
          </w:r>
        </w:p>
        <w:p>
          <w:pPr>
            <w:pStyle w:val="10"/>
            <w:tabs>
              <w:tab w:val="right" w:leader="dot" w:pos="9436"/>
            </w:tabs>
            <w:spacing w:line="440" w:lineRule="exact"/>
          </w:pPr>
          <w:r>
            <w:fldChar w:fldCharType="begin"/>
          </w:r>
          <w:r>
            <w:instrText xml:space="preserve"> HYPERLINK \l "_Toc7340078" </w:instrText>
          </w:r>
          <w:r>
            <w:fldChar w:fldCharType="separate"/>
          </w:r>
          <w:r>
            <w:rPr>
              <w:rStyle w:val="18"/>
            </w:rPr>
            <w:t>5.【教学评价】</w:t>
          </w:r>
          <w:r>
            <w:tab/>
          </w:r>
          <w:r>
            <w:fldChar w:fldCharType="begin"/>
          </w:r>
          <w:r>
            <w:instrText xml:space="preserve"> PAGEREF _Toc7340078 \h </w:instrText>
          </w:r>
          <w:r>
            <w:fldChar w:fldCharType="separate"/>
          </w:r>
          <w:r>
            <w:t>26</w:t>
          </w:r>
          <w:r>
            <w:fldChar w:fldCharType="end"/>
          </w:r>
          <w:r>
            <w:fldChar w:fldCharType="end"/>
          </w:r>
        </w:p>
        <w:p>
          <w:pPr>
            <w:pStyle w:val="10"/>
            <w:tabs>
              <w:tab w:val="right" w:leader="dot" w:pos="9436"/>
            </w:tabs>
            <w:spacing w:line="440" w:lineRule="exact"/>
          </w:pPr>
          <w:r>
            <w:fldChar w:fldCharType="begin"/>
          </w:r>
          <w:r>
            <w:instrText xml:space="preserve"> HYPERLINK \l "_Toc7340079" </w:instrText>
          </w:r>
          <w:r>
            <w:fldChar w:fldCharType="separate"/>
          </w:r>
          <w:r>
            <w:rPr>
              <w:rStyle w:val="18"/>
            </w:rPr>
            <w:t>6.【质量管理】</w:t>
          </w:r>
          <w:r>
            <w:tab/>
          </w:r>
          <w:r>
            <w:fldChar w:fldCharType="begin"/>
          </w:r>
          <w:r>
            <w:instrText xml:space="preserve"> PAGEREF _Toc7340079 \h </w:instrText>
          </w:r>
          <w:r>
            <w:fldChar w:fldCharType="separate"/>
          </w:r>
          <w:r>
            <w:t>26</w:t>
          </w:r>
          <w:r>
            <w:fldChar w:fldCharType="end"/>
          </w:r>
          <w:r>
            <w:fldChar w:fldCharType="end"/>
          </w:r>
        </w:p>
        <w:p>
          <w:pPr>
            <w:spacing w:line="312" w:lineRule="auto"/>
          </w:pPr>
          <w:r>
            <w:rPr>
              <w:b/>
              <w:bCs/>
              <w:lang w:val="zh-CN"/>
            </w:rPr>
            <w:fldChar w:fldCharType="end"/>
          </w:r>
        </w:p>
      </w:sdtContent>
    </w:sdt>
    <w:p>
      <w:pPr>
        <w:spacing w:line="360" w:lineRule="auto"/>
        <w:ind w:right="1200" w:firstLine="480" w:firstLineChars="200"/>
        <w:rPr>
          <w:rFonts w:ascii="宋体" w:hAnsi="宋体" w:eastAsia="宋体" w:cs="宋体"/>
          <w:sz w:val="24"/>
          <w:szCs w:val="24"/>
        </w:rPr>
        <w:sectPr>
          <w:headerReference r:id="rId3" w:type="default"/>
          <w:footerReference r:id="rId4" w:type="default"/>
          <w:pgSz w:w="11906" w:h="16838"/>
          <w:pgMar w:top="1134" w:right="1230" w:bottom="1440" w:left="1230" w:header="851" w:footer="992" w:gutter="0"/>
          <w:pgNumType w:start="1"/>
          <w:cols w:space="720" w:num="1"/>
          <w:titlePg/>
          <w:docGrid w:type="lines" w:linePitch="312" w:charSpace="0"/>
        </w:sectPr>
      </w:pPr>
    </w:p>
    <w:bookmarkEnd w:id="0"/>
    <w:p>
      <w:pPr>
        <w:pStyle w:val="2"/>
      </w:pPr>
      <w:bookmarkStart w:id="1" w:name="_Toc7340051"/>
      <w:r>
        <w:rPr>
          <w:rFonts w:hint="eastAsia"/>
        </w:rPr>
        <w:t>一、专业设置与定位</w:t>
      </w:r>
      <w:bookmarkEnd w:id="1"/>
    </w:p>
    <w:p>
      <w:pPr>
        <w:pStyle w:val="3"/>
        <w:rPr>
          <w:sz w:val="24"/>
          <w:szCs w:val="24"/>
        </w:rPr>
      </w:pPr>
      <w:bookmarkStart w:id="2" w:name="_Toc7340052"/>
      <w:r>
        <w:rPr>
          <w:rFonts w:hint="eastAsia"/>
          <w:sz w:val="24"/>
          <w:szCs w:val="24"/>
        </w:rPr>
        <w:t>1.【专业名称及代码】</w:t>
      </w:r>
      <w:bookmarkEnd w:id="2"/>
    </w:p>
    <w:p>
      <w:pPr>
        <w:spacing w:line="400" w:lineRule="exact"/>
        <w:rPr>
          <w:rFonts w:asciiTheme="majorEastAsia" w:hAnsiTheme="majorEastAsia" w:eastAsiaTheme="majorEastAsia"/>
        </w:rPr>
      </w:pPr>
      <w:r>
        <w:rPr>
          <w:rFonts w:hint="eastAsia" w:asciiTheme="majorEastAsia" w:hAnsiTheme="majorEastAsia" w:eastAsiaTheme="majorEastAsia"/>
        </w:rPr>
        <w:t>　　普通高中：</w:t>
      </w:r>
      <w:r>
        <w:rPr>
          <w:rFonts w:hint="eastAsia"/>
        </w:rPr>
        <w:t>工程测量</w:t>
      </w:r>
      <w:r>
        <w:rPr>
          <w:rFonts w:hint="eastAsia" w:asciiTheme="majorEastAsia" w:hAnsiTheme="majorEastAsia" w:eastAsiaTheme="majorEastAsia"/>
        </w:rPr>
        <w:t>技术（</w:t>
      </w:r>
      <w:r>
        <w:rPr>
          <w:rFonts w:asciiTheme="majorEastAsia" w:hAnsiTheme="majorEastAsia" w:eastAsiaTheme="majorEastAsia"/>
        </w:rPr>
        <w:t>5</w:t>
      </w:r>
      <w:r>
        <w:rPr>
          <w:rFonts w:hint="eastAsia" w:asciiTheme="majorEastAsia" w:hAnsiTheme="majorEastAsia" w:eastAsiaTheme="majorEastAsia"/>
        </w:rPr>
        <w:t>20301）　　</w:t>
      </w:r>
    </w:p>
    <w:p>
      <w:pPr>
        <w:pStyle w:val="3"/>
        <w:rPr>
          <w:sz w:val="24"/>
          <w:szCs w:val="24"/>
        </w:rPr>
      </w:pPr>
      <w:bookmarkStart w:id="3" w:name="_Toc7340053"/>
      <w:r>
        <w:rPr>
          <w:rFonts w:hint="eastAsia"/>
          <w:sz w:val="24"/>
          <w:szCs w:val="24"/>
        </w:rPr>
        <w:t>2.【教育类型】</w:t>
      </w:r>
      <w:bookmarkEnd w:id="3"/>
      <w:bookmarkStart w:id="36" w:name="_GoBack"/>
      <w:bookmarkEnd w:id="36"/>
    </w:p>
    <w:p>
      <w:pPr>
        <w:spacing w:line="400" w:lineRule="exact"/>
      </w:pPr>
      <w:r>
        <w:rPr>
          <w:rFonts w:hint="eastAsia"/>
        </w:rPr>
        <w:t>　　教育类型：高等职业教育</w:t>
      </w:r>
    </w:p>
    <w:p>
      <w:pPr>
        <w:pStyle w:val="3"/>
        <w:rPr>
          <w:sz w:val="24"/>
          <w:szCs w:val="24"/>
        </w:rPr>
      </w:pPr>
      <w:bookmarkStart w:id="4" w:name="_Toc7340054"/>
      <w:r>
        <w:rPr>
          <w:rFonts w:hint="eastAsia"/>
          <w:sz w:val="24"/>
          <w:szCs w:val="24"/>
        </w:rPr>
        <w:t>3.【招生范围及条件】</w:t>
      </w:r>
      <w:bookmarkEnd w:id="4"/>
      <w:r>
        <w:rPr>
          <w:rFonts w:hint="eastAsia"/>
          <w:sz w:val="24"/>
          <w:szCs w:val="24"/>
        </w:rPr>
        <w:t xml:space="preserve"> </w:t>
      </w:r>
    </w:p>
    <w:p>
      <w:pPr>
        <w:spacing w:line="400" w:lineRule="exact"/>
        <w:rPr>
          <w:rFonts w:asciiTheme="majorEastAsia" w:hAnsiTheme="majorEastAsia" w:eastAsiaTheme="majorEastAsia"/>
        </w:rPr>
      </w:pPr>
      <w:r>
        <w:rPr>
          <w:rFonts w:hint="eastAsia" w:asciiTheme="majorEastAsia" w:hAnsiTheme="majorEastAsia" w:eastAsiaTheme="majorEastAsia"/>
        </w:rPr>
        <w:t>　　全日制普通中学高中、职业中学、中专中技应往届毕业生或具有同等及以上学历人员。　</w:t>
      </w:r>
    </w:p>
    <w:p>
      <w:pPr>
        <w:pStyle w:val="3"/>
        <w:rPr>
          <w:sz w:val="24"/>
          <w:szCs w:val="24"/>
        </w:rPr>
      </w:pPr>
      <w:bookmarkStart w:id="5" w:name="_Toc7340055"/>
      <w:r>
        <w:rPr>
          <w:rFonts w:hint="eastAsia"/>
          <w:sz w:val="24"/>
          <w:szCs w:val="24"/>
        </w:rPr>
        <w:t>4.【基本学制与学历】</w:t>
      </w:r>
      <w:bookmarkEnd w:id="5"/>
      <w:r>
        <w:rPr>
          <w:rFonts w:hint="eastAsia"/>
          <w:sz w:val="24"/>
          <w:szCs w:val="24"/>
        </w:rPr>
        <w:t xml:space="preserve"> </w:t>
      </w:r>
    </w:p>
    <w:p>
      <w:pPr>
        <w:spacing w:line="400" w:lineRule="exact"/>
        <w:rPr>
          <w:rFonts w:asciiTheme="minorEastAsia" w:hAnsiTheme="minorEastAsia"/>
        </w:rPr>
      </w:pPr>
      <w:r>
        <w:rPr>
          <w:rFonts w:hint="eastAsia" w:asciiTheme="majorEastAsia" w:hAnsiTheme="majorEastAsia" w:eastAsiaTheme="majorEastAsia"/>
        </w:rPr>
        <w:t>　　</w:t>
      </w:r>
      <w:r>
        <w:rPr>
          <w:rFonts w:hint="eastAsia" w:asciiTheme="minorEastAsia" w:hAnsiTheme="minorEastAsia"/>
        </w:rPr>
        <w:t>普通高中：基本学制三年，实行弹性学制，推行学分制，允许学生采用半工半读、工学交替等方式分阶段完成学业。学习合格取得全日制普通专科(高职）学历。</w:t>
      </w:r>
    </w:p>
    <w:p>
      <w:pPr>
        <w:pStyle w:val="3"/>
        <w:rPr>
          <w:sz w:val="24"/>
          <w:szCs w:val="24"/>
        </w:rPr>
      </w:pPr>
      <w:bookmarkStart w:id="6" w:name="_Toc7340056"/>
      <w:r>
        <w:rPr>
          <w:rFonts w:hint="eastAsia"/>
          <w:sz w:val="24"/>
          <w:szCs w:val="24"/>
        </w:rPr>
        <w:t>5.【培养目标】</w:t>
      </w:r>
      <w:bookmarkEnd w:id="6"/>
    </w:p>
    <w:p>
      <w:pPr>
        <w:spacing w:line="400" w:lineRule="exact"/>
        <w:rPr>
          <w:rFonts w:asciiTheme="minorEastAsia" w:hAnsiTheme="minorEastAsia"/>
          <w:szCs w:val="21"/>
        </w:rPr>
      </w:pPr>
      <w:r>
        <w:rPr>
          <w:rFonts w:hint="eastAsia" w:asciiTheme="majorEastAsia" w:hAnsiTheme="majorEastAsia" w:eastAsiaTheme="majorEastAsia"/>
        </w:rPr>
        <w:t>　　</w:t>
      </w:r>
      <w:r>
        <w:rPr>
          <w:rFonts w:hint="eastAsia" w:ascii="宋体" w:hAnsi="宋体"/>
          <w:szCs w:val="21"/>
        </w:rPr>
        <w:t>面向广东省珠江三角洲地区,</w:t>
      </w:r>
      <w:r>
        <w:rPr>
          <w:rFonts w:ascii="宋体" w:hAnsi="宋体"/>
          <w:szCs w:val="21"/>
        </w:rPr>
        <w:t xml:space="preserve"> 培养</w:t>
      </w:r>
      <w:r>
        <w:rPr>
          <w:rFonts w:hint="eastAsia" w:ascii="宋体" w:hAnsi="宋体"/>
          <w:szCs w:val="21"/>
        </w:rPr>
        <w:t>具有</w:t>
      </w:r>
      <w:r>
        <w:rPr>
          <w:rFonts w:ascii="宋体" w:hAnsi="宋体"/>
          <w:szCs w:val="21"/>
        </w:rPr>
        <w:t>诚信</w:t>
      </w:r>
      <w:r>
        <w:rPr>
          <w:rFonts w:hint="eastAsia" w:ascii="宋体" w:hAnsi="宋体"/>
          <w:szCs w:val="21"/>
        </w:rPr>
        <w:t>品质、</w:t>
      </w:r>
      <w:r>
        <w:rPr>
          <w:rFonts w:ascii="宋体" w:hAnsi="宋体"/>
          <w:szCs w:val="21"/>
        </w:rPr>
        <w:t>敬业</w:t>
      </w:r>
      <w:r>
        <w:rPr>
          <w:rFonts w:hint="eastAsia" w:ascii="宋体" w:hAnsi="宋体"/>
          <w:szCs w:val="21"/>
        </w:rPr>
        <w:t>精神和</w:t>
      </w:r>
      <w:r>
        <w:rPr>
          <w:rFonts w:ascii="宋体" w:hAnsi="宋体"/>
          <w:szCs w:val="21"/>
        </w:rPr>
        <w:t>团队</w:t>
      </w:r>
      <w:r>
        <w:rPr>
          <w:rFonts w:hint="eastAsia" w:ascii="宋体" w:hAnsi="宋体"/>
          <w:szCs w:val="21"/>
        </w:rPr>
        <w:t>意识，具备良好</w:t>
      </w:r>
      <w:r>
        <w:rPr>
          <w:rFonts w:ascii="宋体" w:hAnsi="宋体"/>
          <w:szCs w:val="21"/>
        </w:rPr>
        <w:t>社会适应性</w:t>
      </w:r>
      <w:r>
        <w:rPr>
          <w:rFonts w:hint="eastAsia" w:ascii="宋体" w:hAnsi="宋体"/>
          <w:szCs w:val="21"/>
        </w:rPr>
        <w:t>和创新能力，掌握现代测绘与遥感信息处理技术，熟悉测绘工程项目的实施与管理，熟练“测量、计算、绘图及高新技术应用”技能，取得工程测量职业资格证，从事城市测量、线路测量、国土规划、地籍与房产测绘、GIS数据处理等第一线工作的高素质技术技能</w:t>
      </w:r>
      <w:r>
        <w:rPr>
          <w:rFonts w:ascii="宋体" w:hAnsi="宋体"/>
          <w:szCs w:val="21"/>
        </w:rPr>
        <w:t>人才</w:t>
      </w:r>
      <w:r>
        <w:rPr>
          <w:rFonts w:hint="eastAsia" w:ascii="宋体" w:hAnsi="宋体"/>
          <w:szCs w:val="21"/>
        </w:rPr>
        <w:t>。</w:t>
      </w:r>
    </w:p>
    <w:p>
      <w:pPr>
        <w:pStyle w:val="3"/>
        <w:rPr>
          <w:sz w:val="24"/>
          <w:szCs w:val="24"/>
        </w:rPr>
      </w:pPr>
      <w:bookmarkStart w:id="7" w:name="_Toc7340057"/>
      <w:r>
        <w:rPr>
          <w:rFonts w:hint="eastAsia"/>
          <w:sz w:val="24"/>
          <w:szCs w:val="24"/>
        </w:rPr>
        <w:t>6.【培养方式】</w:t>
      </w:r>
      <w:bookmarkEnd w:id="7"/>
      <w:r>
        <w:rPr>
          <w:rFonts w:hint="eastAsia"/>
          <w:sz w:val="24"/>
          <w:szCs w:val="24"/>
        </w:rPr>
        <w:t xml:space="preserve"> </w:t>
      </w:r>
    </w:p>
    <w:p>
      <w:pPr>
        <w:rPr>
          <w:rFonts w:asciiTheme="majorEastAsia" w:hAnsiTheme="majorEastAsia" w:eastAsiaTheme="majorEastAsia"/>
        </w:rPr>
      </w:pPr>
      <w:r>
        <w:rPr>
          <w:rFonts w:hint="eastAsia" w:asciiTheme="majorEastAsia" w:hAnsiTheme="majorEastAsia" w:eastAsiaTheme="majorEastAsia"/>
        </w:rPr>
        <w:t xml:space="preserve">　　统一招生，学习期满成绩合格可得到双证，学历证+职业技能证书（1+X）。 </w:t>
      </w:r>
    </w:p>
    <w:p>
      <w:pPr>
        <w:pStyle w:val="2"/>
      </w:pPr>
      <w:bookmarkStart w:id="8" w:name="_Toc7340058"/>
      <w:r>
        <w:rPr>
          <w:rFonts w:hint="eastAsia"/>
        </w:rPr>
        <w:t>二、人才培养规格</w:t>
      </w:r>
      <w:bookmarkEnd w:id="8"/>
      <w:r>
        <w:rPr>
          <w:rFonts w:hint="eastAsia"/>
        </w:rPr>
        <w:t xml:space="preserve"> </w:t>
      </w:r>
    </w:p>
    <w:p>
      <w:pPr>
        <w:pStyle w:val="3"/>
        <w:rPr>
          <w:sz w:val="24"/>
          <w:szCs w:val="24"/>
        </w:rPr>
      </w:pPr>
      <w:bookmarkStart w:id="9" w:name="_Toc7340059"/>
      <w:r>
        <w:rPr>
          <w:rFonts w:hint="eastAsia"/>
          <w:sz w:val="24"/>
          <w:szCs w:val="24"/>
        </w:rPr>
        <w:t>1.【基本素质要求】</w:t>
      </w:r>
      <w:bookmarkEnd w:id="9"/>
    </w:p>
    <w:p>
      <w:pPr>
        <w:spacing w:line="400" w:lineRule="exact"/>
        <w:ind w:firstLine="420" w:firstLineChars="200"/>
        <w:rPr>
          <w:rFonts w:asciiTheme="majorEastAsia" w:hAnsiTheme="majorEastAsia" w:eastAsiaTheme="majorEastAsia"/>
        </w:rPr>
      </w:pPr>
      <w:r>
        <w:rPr>
          <w:rFonts w:asciiTheme="minorEastAsia" w:hAnsiTheme="minorEastAsia"/>
          <w:szCs w:val="21"/>
        </w:rPr>
        <w:t>1.1</w:t>
      </w:r>
      <w:r>
        <w:rPr>
          <w:rFonts w:hint="eastAsia" w:asciiTheme="minorEastAsia" w:hAnsiTheme="minorEastAsia"/>
          <w:szCs w:val="21"/>
          <w:lang w:val="zh-TW" w:eastAsia="zh-TW"/>
        </w:rPr>
        <w:t>思想政治素质</w:t>
      </w:r>
      <w:r>
        <w:rPr>
          <w:rFonts w:hint="eastAsia" w:asciiTheme="minorEastAsia" w:hAnsiTheme="minorEastAsia"/>
          <w:szCs w:val="21"/>
          <w:lang w:val="zh-TW"/>
        </w:rPr>
        <w:t>：</w:t>
      </w:r>
      <w:r>
        <w:rPr>
          <w:rFonts w:hint="eastAsia" w:asciiTheme="minorEastAsia" w:hAnsiTheme="minorEastAsia"/>
          <w:szCs w:val="21"/>
          <w:lang w:val="zh-TW" w:eastAsia="zh-TW"/>
        </w:rPr>
        <w:t>坚持马列主义、毛泽东思想、邓小平理论，</w:t>
      </w:r>
      <w:r>
        <w:rPr>
          <w:rFonts w:hint="eastAsia" w:asciiTheme="majorEastAsia" w:hAnsiTheme="majorEastAsia" w:eastAsiaTheme="majorEastAsia"/>
        </w:rPr>
        <w:t>坚决拥护中国共产党领导，</w:t>
      </w:r>
      <w:r>
        <w:rPr>
          <w:rFonts w:hint="eastAsia" w:asciiTheme="minorEastAsia" w:hAnsiTheme="minorEastAsia"/>
          <w:szCs w:val="21"/>
          <w:lang w:val="zh-TW" w:eastAsia="zh-TW"/>
        </w:rPr>
        <w:t>坚持社会主义道路。树立社会主义核心价值观、世界观、人生观</w:t>
      </w:r>
      <w:r>
        <w:rPr>
          <w:rFonts w:hint="eastAsia" w:asciiTheme="minorEastAsia" w:hAnsiTheme="minorEastAsia"/>
          <w:szCs w:val="21"/>
        </w:rPr>
        <w:t>，</w:t>
      </w:r>
      <w:r>
        <w:rPr>
          <w:rFonts w:hint="eastAsia" w:asciiTheme="minorEastAsia" w:hAnsiTheme="minorEastAsia"/>
          <w:szCs w:val="21"/>
          <w:lang w:val="zh-TW" w:eastAsia="zh-TW"/>
        </w:rPr>
        <w:t>热爱祖国，忠于人民，遵纪守法，做“四有新人”</w:t>
      </w:r>
      <w:r>
        <w:rPr>
          <w:rFonts w:hint="eastAsia" w:asciiTheme="minorEastAsia" w:hAnsiTheme="minorEastAsia"/>
          <w:szCs w:val="21"/>
          <w:lang w:val="zh-TW"/>
        </w:rPr>
        <w:t>。</w:t>
      </w:r>
      <w:r>
        <w:rPr>
          <w:rFonts w:hint="eastAsia" w:asciiTheme="minorEastAsia" w:hAnsiTheme="minorEastAsia"/>
          <w:szCs w:val="21"/>
          <w:lang w:val="zh-TW" w:eastAsia="zh-TW"/>
        </w:rPr>
        <w:t>树立正确的荣辱观，具备良好的社会公德；培养高尚的思想道德和理想情操</w:t>
      </w:r>
      <w:r>
        <w:rPr>
          <w:rFonts w:hint="eastAsia" w:asciiTheme="minorEastAsia" w:hAnsiTheme="minorEastAsia"/>
          <w:szCs w:val="21"/>
          <w:lang w:val="zh-TW"/>
        </w:rPr>
        <w:t>。</w:t>
      </w:r>
      <w:r>
        <w:rPr>
          <w:rFonts w:hint="eastAsia" w:asciiTheme="majorEastAsia" w:hAnsiTheme="majorEastAsia" w:eastAsiaTheme="majorEastAsia"/>
        </w:rPr>
        <w:t>崇尚宪法、遵守法律、遵规守纪；具有社会责任感和参与意识。</w:t>
      </w:r>
    </w:p>
    <w:p>
      <w:pPr>
        <w:spacing w:line="400" w:lineRule="exact"/>
        <w:ind w:firstLine="420" w:firstLineChars="200"/>
        <w:rPr>
          <w:rFonts w:asciiTheme="minorEastAsia" w:hAnsiTheme="minorEastAsia"/>
          <w:szCs w:val="21"/>
        </w:rPr>
      </w:pPr>
      <w:r>
        <w:rPr>
          <w:rFonts w:asciiTheme="minorEastAsia" w:hAnsiTheme="minorEastAsia"/>
          <w:szCs w:val="21"/>
        </w:rPr>
        <w:t>1.2</w:t>
      </w:r>
      <w:r>
        <w:rPr>
          <w:rFonts w:hint="eastAsia" w:asciiTheme="minorEastAsia" w:hAnsiTheme="minorEastAsia"/>
          <w:szCs w:val="21"/>
        </w:rPr>
        <w:t>职业文化以及方法能力：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具有献身精神、奉献精神和吃苦耐劳精神，具有学习能力、沟通能力、合作能力、应变能力、创新能力等多方面综合能力。具有创新精神和实践能力、立业和创业能力。</w:t>
      </w:r>
    </w:p>
    <w:p>
      <w:pPr>
        <w:spacing w:line="400" w:lineRule="exact"/>
        <w:ind w:firstLine="420" w:firstLineChars="200"/>
        <w:rPr>
          <w:rFonts w:asciiTheme="minorEastAsia" w:hAnsiTheme="minorEastAsia"/>
          <w:szCs w:val="21"/>
          <w:lang w:val="zh-TW" w:eastAsia="zh-TW"/>
        </w:rPr>
      </w:pPr>
      <w:r>
        <w:rPr>
          <w:rFonts w:asciiTheme="minorEastAsia" w:hAnsiTheme="minorEastAsia"/>
          <w:szCs w:val="21"/>
        </w:rPr>
        <w:t>1.3</w:t>
      </w:r>
      <w:r>
        <w:rPr>
          <w:rFonts w:hint="eastAsia" w:asciiTheme="minorEastAsia" w:hAnsiTheme="minorEastAsia"/>
          <w:szCs w:val="21"/>
          <w:lang w:val="zh-TW" w:eastAsia="zh-TW"/>
        </w:rPr>
        <w:t>人文与科学素质</w:t>
      </w:r>
      <w:r>
        <w:rPr>
          <w:rFonts w:hint="eastAsia" w:asciiTheme="minorEastAsia" w:hAnsiTheme="minorEastAsia"/>
          <w:szCs w:val="21"/>
          <w:lang w:val="zh-TW"/>
        </w:rPr>
        <w:t>：</w:t>
      </w:r>
      <w:r>
        <w:rPr>
          <w:rFonts w:hint="eastAsia" w:asciiTheme="minorEastAsia" w:hAnsiTheme="minorEastAsia"/>
          <w:szCs w:val="21"/>
          <w:lang w:val="zh-TW" w:eastAsia="zh-TW"/>
        </w:rPr>
        <w:t>能运用汉语言文字淸晰地进行信息、思想、感情的传递、表达和交 流；具有基本的文学艺术修养；具有一定的文、史、哲知识，拥有一定的审美、鉴赏能力、人文与科学精神，养成完善的人格；具备阅读和翻译本专业一般性英文资料的能力，具备基本的日常口语交流能力。掌握基本的</w:t>
      </w:r>
      <w:r>
        <w:rPr>
          <w:rFonts w:hint="eastAsia" w:asciiTheme="minorEastAsia" w:hAnsiTheme="minorEastAsia"/>
          <w:szCs w:val="21"/>
          <w:lang w:val="zh-TW"/>
        </w:rPr>
        <w:t>工程数学</w:t>
      </w:r>
      <w:r>
        <w:rPr>
          <w:rFonts w:hint="eastAsia" w:asciiTheme="minorEastAsia" w:hAnsiTheme="minorEastAsia"/>
          <w:szCs w:val="21"/>
          <w:lang w:val="zh-TW" w:eastAsia="zh-TW"/>
        </w:rPr>
        <w:t>，计算机知识，具备基本的应用能力。</w:t>
      </w:r>
    </w:p>
    <w:p>
      <w:pPr>
        <w:spacing w:line="400" w:lineRule="exact"/>
        <w:ind w:firstLine="200"/>
        <w:rPr>
          <w:color w:val="FF0000"/>
        </w:rPr>
      </w:pPr>
      <w:r>
        <w:rPr>
          <w:rFonts w:hint="eastAsia" w:asciiTheme="minorEastAsia" w:hAnsiTheme="minorEastAsia"/>
          <w:szCs w:val="21"/>
        </w:rPr>
        <w:t>1.4</w:t>
      </w:r>
      <w:r>
        <w:rPr>
          <w:rFonts w:hint="eastAsia" w:asciiTheme="minorEastAsia" w:hAnsiTheme="minorEastAsia"/>
          <w:szCs w:val="21"/>
          <w:lang w:val="zh-TW" w:eastAsia="zh-TW"/>
        </w:rPr>
        <w:t>身心素质</w:t>
      </w:r>
      <w:r>
        <w:rPr>
          <w:rFonts w:hint="eastAsia" w:asciiTheme="minorEastAsia" w:hAnsiTheme="minorEastAsia"/>
          <w:szCs w:val="21"/>
          <w:lang w:val="zh-TW"/>
        </w:rPr>
        <w:t>：</w:t>
      </w:r>
      <w:r>
        <w:rPr>
          <w:rFonts w:hint="eastAsia" w:asciiTheme="minorEastAsia" w:hAnsiTheme="minorEastAsia"/>
          <w:szCs w:val="21"/>
          <w:lang w:val="zh-TW" w:eastAsia="zh-TW"/>
        </w:rPr>
        <w:t>具有科学锻炼身体的技能，拥有健全的体魄和健康的心理身心健康，能调控自身心理情趣；具有体育卫生和运动保健素养；树立自觉锻炼、终生锻炼身体的意识；体魄良好，体能达到规定标准。</w:t>
      </w:r>
    </w:p>
    <w:p>
      <w:pPr>
        <w:pStyle w:val="3"/>
        <w:rPr>
          <w:sz w:val="24"/>
          <w:szCs w:val="24"/>
        </w:rPr>
      </w:pPr>
      <w:bookmarkStart w:id="10" w:name="_Toc7340060"/>
      <w:r>
        <w:rPr>
          <w:rFonts w:hint="eastAsia"/>
          <w:sz w:val="24"/>
          <w:szCs w:val="24"/>
        </w:rPr>
        <w:t>2.【职业面向与能力要求】</w:t>
      </w:r>
      <w:bookmarkEnd w:id="10"/>
    </w:p>
    <w:p>
      <w:pPr>
        <w:ind w:firstLine="420"/>
        <w:rPr>
          <w:rFonts w:asciiTheme="majorEastAsia" w:hAnsiTheme="majorEastAsia" w:eastAsiaTheme="majorEastAsia"/>
        </w:rPr>
      </w:pPr>
      <w:r>
        <w:rPr>
          <w:rFonts w:asciiTheme="majorEastAsia" w:hAnsiTheme="majorEastAsia" w:eastAsiaTheme="majorEastAsia"/>
        </w:rPr>
        <w:t>2.1</w:t>
      </w:r>
      <w:r>
        <w:rPr>
          <w:rFonts w:hint="eastAsia" w:asciiTheme="majorEastAsia" w:hAnsiTheme="majorEastAsia" w:eastAsiaTheme="majorEastAsia"/>
        </w:rPr>
        <w:t>职业面向描述用图表表示</w:t>
      </w:r>
    </w:p>
    <w:tbl>
      <w:tblPr>
        <w:tblStyle w:val="14"/>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126"/>
        <w:gridCol w:w="1186"/>
        <w:gridCol w:w="1276"/>
        <w:gridCol w:w="1701"/>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9" w:type="dxa"/>
          </w:tcPr>
          <w:p>
            <w:pPr>
              <w:jc w:val="center"/>
              <w:rPr>
                <w:rFonts w:asciiTheme="minorEastAsia" w:hAnsiTheme="minorEastAsia"/>
                <w:sz w:val="18"/>
                <w:szCs w:val="18"/>
              </w:rPr>
            </w:pPr>
            <w:r>
              <w:rPr>
                <w:rFonts w:hint="eastAsia" w:asciiTheme="minorEastAsia" w:hAnsiTheme="minorEastAsia"/>
                <w:sz w:val="18"/>
                <w:szCs w:val="18"/>
              </w:rPr>
              <w:t>所属专业大类（代码）</w:t>
            </w:r>
          </w:p>
        </w:tc>
        <w:tc>
          <w:tcPr>
            <w:tcW w:w="1126" w:type="dxa"/>
          </w:tcPr>
          <w:p>
            <w:pPr>
              <w:jc w:val="center"/>
              <w:rPr>
                <w:rFonts w:asciiTheme="minorEastAsia" w:hAnsiTheme="minorEastAsia"/>
                <w:sz w:val="18"/>
                <w:szCs w:val="18"/>
              </w:rPr>
            </w:pPr>
            <w:r>
              <w:rPr>
                <w:rFonts w:hint="eastAsia" w:asciiTheme="minorEastAsia" w:hAnsiTheme="minorEastAsia"/>
                <w:sz w:val="18"/>
                <w:szCs w:val="18"/>
              </w:rPr>
              <w:t>所属专业类</w:t>
            </w:r>
          </w:p>
          <w:p>
            <w:pPr>
              <w:jc w:val="center"/>
              <w:rPr>
                <w:rFonts w:asciiTheme="minorEastAsia" w:hAnsiTheme="minorEastAsia"/>
                <w:sz w:val="18"/>
                <w:szCs w:val="18"/>
              </w:rPr>
            </w:pPr>
            <w:r>
              <w:rPr>
                <w:rFonts w:hint="eastAsia" w:asciiTheme="minorEastAsia" w:hAnsiTheme="minorEastAsia"/>
                <w:sz w:val="18"/>
                <w:szCs w:val="18"/>
              </w:rPr>
              <w:t>（代码）</w:t>
            </w:r>
          </w:p>
        </w:tc>
        <w:tc>
          <w:tcPr>
            <w:tcW w:w="1186" w:type="dxa"/>
          </w:tcPr>
          <w:p>
            <w:pPr>
              <w:jc w:val="center"/>
              <w:rPr>
                <w:rFonts w:asciiTheme="minorEastAsia" w:hAnsiTheme="minorEastAsia"/>
                <w:sz w:val="18"/>
                <w:szCs w:val="18"/>
              </w:rPr>
            </w:pPr>
            <w:r>
              <w:rPr>
                <w:rFonts w:hint="eastAsia" w:asciiTheme="minorEastAsia" w:hAnsiTheme="minorEastAsia"/>
                <w:sz w:val="18"/>
                <w:szCs w:val="18"/>
              </w:rPr>
              <w:t>对应行业</w:t>
            </w:r>
          </w:p>
          <w:p>
            <w:pPr>
              <w:jc w:val="center"/>
              <w:rPr>
                <w:rFonts w:asciiTheme="minorEastAsia" w:hAnsiTheme="minorEastAsia"/>
                <w:sz w:val="18"/>
                <w:szCs w:val="18"/>
              </w:rPr>
            </w:pPr>
            <w:r>
              <w:rPr>
                <w:rFonts w:hint="eastAsia" w:asciiTheme="minorEastAsia" w:hAnsiTheme="minorEastAsia"/>
                <w:sz w:val="18"/>
                <w:szCs w:val="18"/>
              </w:rPr>
              <w:t>（代码）</w:t>
            </w:r>
          </w:p>
        </w:tc>
        <w:tc>
          <w:tcPr>
            <w:tcW w:w="1276" w:type="dxa"/>
          </w:tcPr>
          <w:p>
            <w:pPr>
              <w:jc w:val="center"/>
              <w:rPr>
                <w:rFonts w:asciiTheme="minorEastAsia" w:hAnsiTheme="minorEastAsia"/>
                <w:sz w:val="18"/>
                <w:szCs w:val="18"/>
              </w:rPr>
            </w:pPr>
            <w:r>
              <w:rPr>
                <w:rFonts w:hint="eastAsia" w:asciiTheme="minorEastAsia" w:hAnsiTheme="minorEastAsia"/>
                <w:sz w:val="18"/>
                <w:szCs w:val="18"/>
              </w:rPr>
              <w:t>主要职业类别（代码）</w:t>
            </w:r>
          </w:p>
        </w:tc>
        <w:tc>
          <w:tcPr>
            <w:tcW w:w="1701" w:type="dxa"/>
          </w:tcPr>
          <w:p>
            <w:pPr>
              <w:jc w:val="center"/>
              <w:rPr>
                <w:rFonts w:asciiTheme="minorEastAsia" w:hAnsiTheme="minorEastAsia"/>
                <w:sz w:val="18"/>
                <w:szCs w:val="18"/>
              </w:rPr>
            </w:pPr>
            <w:r>
              <w:rPr>
                <w:rFonts w:hint="eastAsia" w:asciiTheme="minorEastAsia" w:hAnsiTheme="minorEastAsia"/>
                <w:sz w:val="18"/>
                <w:szCs w:val="18"/>
              </w:rPr>
              <w:t>主要岗位类别（或技术领域）</w:t>
            </w:r>
          </w:p>
        </w:tc>
        <w:tc>
          <w:tcPr>
            <w:tcW w:w="1922" w:type="dxa"/>
          </w:tcPr>
          <w:p>
            <w:pPr>
              <w:jc w:val="center"/>
              <w:rPr>
                <w:rFonts w:asciiTheme="minorEastAsia" w:hAnsiTheme="minorEastAsia"/>
                <w:sz w:val="18"/>
                <w:szCs w:val="18"/>
              </w:rPr>
            </w:pPr>
            <w:r>
              <w:rPr>
                <w:rFonts w:hint="eastAsia" w:asciiTheme="minorEastAsia" w:hAnsiTheme="minorEastAsia"/>
                <w:sz w:val="18"/>
                <w:szCs w:val="18"/>
              </w:rPr>
              <w:t>职业资格或职业技能等级证书举例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1119" w:type="dxa"/>
          </w:tcPr>
          <w:p>
            <w:pPr>
              <w:rPr>
                <w:rFonts w:asciiTheme="minorEastAsia" w:hAnsiTheme="minorEastAsia"/>
                <w:sz w:val="18"/>
                <w:szCs w:val="18"/>
              </w:rPr>
            </w:pPr>
            <w:r>
              <w:rPr>
                <w:rFonts w:hint="eastAsia" w:asciiTheme="minorEastAsia" w:hAnsiTheme="minorEastAsia"/>
                <w:sz w:val="18"/>
                <w:szCs w:val="18"/>
              </w:rPr>
              <w:t>资源环境与安全大类（52）</w:t>
            </w:r>
          </w:p>
        </w:tc>
        <w:tc>
          <w:tcPr>
            <w:tcW w:w="1126" w:type="dxa"/>
          </w:tcPr>
          <w:p>
            <w:pPr>
              <w:rPr>
                <w:rFonts w:asciiTheme="minorEastAsia" w:hAnsiTheme="minorEastAsia"/>
                <w:sz w:val="18"/>
                <w:szCs w:val="18"/>
              </w:rPr>
            </w:pPr>
            <w:r>
              <w:rPr>
                <w:rFonts w:hint="eastAsia" w:asciiTheme="minorEastAsia" w:hAnsiTheme="minorEastAsia"/>
                <w:sz w:val="18"/>
                <w:szCs w:val="18"/>
              </w:rPr>
              <w:t>测绘地理信息类（52</w:t>
            </w:r>
            <w:r>
              <w:rPr>
                <w:rFonts w:asciiTheme="minorEastAsia" w:hAnsiTheme="minorEastAsia"/>
                <w:sz w:val="18"/>
                <w:szCs w:val="18"/>
              </w:rPr>
              <w:t>03</w:t>
            </w:r>
            <w:r>
              <w:rPr>
                <w:rFonts w:hint="eastAsia" w:asciiTheme="minorEastAsia" w:hAnsiTheme="minorEastAsia"/>
                <w:sz w:val="18"/>
                <w:szCs w:val="18"/>
              </w:rPr>
              <w:t>）</w:t>
            </w:r>
          </w:p>
        </w:tc>
        <w:tc>
          <w:tcPr>
            <w:tcW w:w="1186" w:type="dxa"/>
          </w:tcPr>
          <w:p>
            <w:pPr>
              <w:rPr>
                <w:rFonts w:asciiTheme="minorEastAsia" w:hAnsiTheme="minorEastAsia"/>
                <w:sz w:val="18"/>
                <w:szCs w:val="18"/>
              </w:rPr>
            </w:pPr>
            <w:r>
              <w:rPr>
                <w:rFonts w:hint="eastAsia" w:asciiTheme="minorEastAsia" w:hAnsiTheme="minorEastAsia"/>
                <w:sz w:val="18"/>
                <w:szCs w:val="18"/>
              </w:rPr>
              <w:t>软件和信息技术服务业（65）</w:t>
            </w:r>
          </w:p>
          <w:p>
            <w:pPr>
              <w:rPr>
                <w:rFonts w:asciiTheme="minorEastAsia" w:hAnsiTheme="minorEastAsia"/>
                <w:sz w:val="18"/>
                <w:szCs w:val="18"/>
              </w:rPr>
            </w:pPr>
            <w:r>
              <w:rPr>
                <w:rFonts w:hint="eastAsia" w:asciiTheme="minorEastAsia" w:hAnsiTheme="minorEastAsia"/>
                <w:sz w:val="18"/>
                <w:szCs w:val="18"/>
              </w:rPr>
              <w:t>土木工程建筑业（4</w:t>
            </w:r>
            <w:r>
              <w:rPr>
                <w:rFonts w:asciiTheme="minorEastAsia" w:hAnsiTheme="minorEastAsia"/>
                <w:sz w:val="18"/>
                <w:szCs w:val="18"/>
              </w:rPr>
              <w:t>8</w:t>
            </w:r>
            <w:r>
              <w:rPr>
                <w:rFonts w:hint="eastAsia" w:asciiTheme="minorEastAsia" w:hAnsiTheme="minorEastAsia"/>
                <w:sz w:val="18"/>
                <w:szCs w:val="18"/>
              </w:rPr>
              <w:t>）</w:t>
            </w:r>
          </w:p>
        </w:tc>
        <w:tc>
          <w:tcPr>
            <w:tcW w:w="1276" w:type="dxa"/>
          </w:tcPr>
          <w:p>
            <w:pPr>
              <w:rPr>
                <w:rFonts w:asciiTheme="minorEastAsia" w:hAnsiTheme="minorEastAsia"/>
                <w:sz w:val="18"/>
                <w:szCs w:val="18"/>
              </w:rPr>
            </w:pPr>
            <w:r>
              <w:rPr>
                <w:rFonts w:hint="eastAsia" w:asciiTheme="minorEastAsia" w:hAnsiTheme="minorEastAsia"/>
                <w:sz w:val="18"/>
                <w:szCs w:val="18"/>
              </w:rPr>
              <w:t>测绘工程技术人员（1-03-32）</w:t>
            </w:r>
          </w:p>
          <w:p>
            <w:pPr>
              <w:rPr>
                <w:rFonts w:asciiTheme="minorEastAsia" w:hAnsiTheme="minorEastAsia"/>
                <w:sz w:val="18"/>
                <w:szCs w:val="18"/>
              </w:rPr>
            </w:pPr>
            <w:r>
              <w:rPr>
                <w:rFonts w:hint="eastAsia" w:asciiTheme="minorEastAsia" w:hAnsiTheme="minorEastAsia"/>
                <w:sz w:val="18"/>
                <w:szCs w:val="18"/>
              </w:rPr>
              <w:t>测绘人员（6-</w:t>
            </w:r>
            <w:r>
              <w:rPr>
                <w:rFonts w:asciiTheme="minorEastAsia" w:hAnsiTheme="minorEastAsia"/>
                <w:sz w:val="18"/>
                <w:szCs w:val="18"/>
              </w:rPr>
              <w:t>0</w:t>
            </w:r>
            <w:r>
              <w:rPr>
                <w:rFonts w:hint="eastAsia" w:asciiTheme="minorEastAsia" w:hAnsiTheme="minorEastAsia"/>
                <w:sz w:val="18"/>
                <w:szCs w:val="18"/>
              </w:rPr>
              <w:t>1-12）</w:t>
            </w:r>
          </w:p>
        </w:tc>
        <w:tc>
          <w:tcPr>
            <w:tcW w:w="1701" w:type="dxa"/>
          </w:tcPr>
          <w:p>
            <w:pPr>
              <w:rPr>
                <w:rFonts w:asciiTheme="minorEastAsia" w:hAnsiTheme="minorEastAsia"/>
                <w:sz w:val="18"/>
                <w:szCs w:val="18"/>
              </w:rPr>
            </w:pPr>
            <w:r>
              <w:rPr>
                <w:rFonts w:hint="eastAsia" w:cs="仿宋" w:asciiTheme="minorEastAsia" w:hAnsiTheme="minorEastAsia"/>
                <w:sz w:val="18"/>
                <w:szCs w:val="18"/>
              </w:rPr>
              <w:t>工程测量；不动产测量；无人机操控与数据处理；测绘地理信息数据处理</w:t>
            </w:r>
          </w:p>
        </w:tc>
        <w:tc>
          <w:tcPr>
            <w:tcW w:w="1922" w:type="dxa"/>
          </w:tcPr>
          <w:p>
            <w:pPr>
              <w:pStyle w:val="11"/>
              <w:shd w:val="clear" w:color="auto" w:fill="FFFFFF"/>
              <w:spacing w:line="276" w:lineRule="auto"/>
              <w:jc w:val="both"/>
              <w:rPr>
                <w:rFonts w:cs="Arial" w:asciiTheme="minorEastAsia" w:hAnsiTheme="minorEastAsia" w:eastAsiaTheme="minorEastAsia"/>
                <w:color w:val="333333"/>
                <w:sz w:val="18"/>
                <w:szCs w:val="18"/>
              </w:rPr>
            </w:pPr>
            <w:r>
              <w:rPr>
                <w:rFonts w:hint="eastAsia" w:asciiTheme="minorEastAsia" w:hAnsiTheme="minorEastAsia" w:eastAsiaTheme="minorEastAsia"/>
                <w:sz w:val="18"/>
                <w:szCs w:val="18"/>
              </w:rPr>
              <w:t>工程测量证；不动产测绘员证；</w:t>
            </w:r>
            <w:r>
              <w:rPr>
                <w:rFonts w:hint="eastAsia" w:cs="Arial" w:asciiTheme="minorEastAsia" w:hAnsiTheme="minorEastAsia" w:eastAsiaTheme="minorEastAsia"/>
                <w:color w:val="191919"/>
                <w:sz w:val="18"/>
                <w:szCs w:val="18"/>
                <w:shd w:val="clear" w:color="auto" w:fill="FFFFFF"/>
              </w:rPr>
              <w:t>摄影测量员</w:t>
            </w:r>
            <w:r>
              <w:rPr>
                <w:rFonts w:cs="Arial" w:asciiTheme="minorEastAsia" w:hAnsiTheme="minorEastAsia" w:eastAsiaTheme="minorEastAsia"/>
                <w:color w:val="191919"/>
                <w:sz w:val="18"/>
                <w:szCs w:val="18"/>
                <w:shd w:val="clear" w:color="auto" w:fill="FFFFFF"/>
              </w:rPr>
              <w:t>证书</w:t>
            </w:r>
            <w:r>
              <w:rPr>
                <w:rFonts w:cs="Arial" w:asciiTheme="minorEastAsia" w:hAnsiTheme="minorEastAsia" w:eastAsiaTheme="minorEastAsia"/>
                <w:color w:val="333333"/>
                <w:sz w:val="18"/>
                <w:szCs w:val="18"/>
              </w:rPr>
              <w:t xml:space="preserve"> </w:t>
            </w:r>
          </w:p>
        </w:tc>
      </w:tr>
    </w:tbl>
    <w:p>
      <w:pPr>
        <w:spacing w:before="312" w:beforeLines="100" w:line="500" w:lineRule="exact"/>
        <w:ind w:firstLine="420" w:firstLineChars="200"/>
        <w:rPr>
          <w:rFonts w:asciiTheme="majorEastAsia" w:hAnsiTheme="majorEastAsia" w:eastAsiaTheme="majorEastAsia"/>
        </w:rPr>
      </w:pPr>
      <w:r>
        <w:rPr>
          <w:rFonts w:hint="eastAsia" w:asciiTheme="majorEastAsia" w:hAnsiTheme="majorEastAsia" w:eastAsiaTheme="majorEastAsia"/>
        </w:rPr>
        <w:t>2.2 能力要求</w:t>
      </w:r>
    </w:p>
    <w:p>
      <w:pPr>
        <w:adjustRightInd w:val="0"/>
        <w:snapToGrid w:val="0"/>
        <w:spacing w:line="500" w:lineRule="exact"/>
        <w:ind w:firstLine="420" w:firstLineChars="200"/>
        <w:rPr>
          <w:rFonts w:cs="MS Gothic" w:asciiTheme="minorEastAsia" w:hAnsiTheme="minorEastAsia"/>
          <w:szCs w:val="21"/>
        </w:rPr>
      </w:pPr>
      <w:r>
        <w:rPr>
          <w:rFonts w:cs="MS Gothic" w:asciiTheme="minorEastAsia" w:hAnsiTheme="minorEastAsia"/>
          <w:szCs w:val="21"/>
        </w:rPr>
        <w:t>1</w:t>
      </w:r>
      <w:r>
        <w:rPr>
          <w:rFonts w:asciiTheme="minorEastAsia" w:hAnsiTheme="minorEastAsia"/>
          <w:szCs w:val="21"/>
        </w:rPr>
        <w:t>．</w:t>
      </w:r>
      <w:r>
        <w:rPr>
          <w:rFonts w:cs="MS Gothic" w:asciiTheme="minorEastAsia" w:hAnsiTheme="minorEastAsia"/>
          <w:szCs w:val="21"/>
        </w:rPr>
        <w:t>素质</w:t>
      </w:r>
      <w:r>
        <w:rPr>
          <w:rFonts w:hint="eastAsia" w:cs="MS Gothic" w:asciiTheme="minorEastAsia" w:hAnsiTheme="minorEastAsia"/>
          <w:szCs w:val="21"/>
        </w:rPr>
        <w:t>要求</w:t>
      </w:r>
    </w:p>
    <w:p>
      <w:pPr>
        <w:spacing w:after="1" w:line="500" w:lineRule="exact"/>
        <w:ind w:left="-15"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坚定拥护中国共产党领导和我国社会主义制度，在习近平新时代中国特色社会主义思想指引下，践行社会主义核心价值观，具有深厚的爱国情感和中华民族自豪感；</w:t>
      </w:r>
    </w:p>
    <w:p>
      <w:pPr>
        <w:spacing w:after="1" w:line="500" w:lineRule="exact"/>
        <w:ind w:left="-15" w:firstLine="420" w:firstLineChars="200"/>
        <w:rPr>
          <w:rFonts w:asciiTheme="minorEastAsia" w:hAnsiTheme="minorEastAsia"/>
          <w:szCs w:val="21"/>
        </w:rPr>
      </w:pPr>
      <w:r>
        <w:rPr>
          <w:rFonts w:hint="eastAsia" w:cs="仿宋" w:asciiTheme="minorEastAsia" w:hAnsiTheme="minorEastAsia"/>
          <w:szCs w:val="21"/>
        </w:rPr>
        <w:t>（2）</w:t>
      </w:r>
      <w:r>
        <w:rPr>
          <w:rFonts w:cs="仿宋" w:asciiTheme="minorEastAsia" w:hAnsiTheme="minorEastAsia"/>
          <w:szCs w:val="21"/>
        </w:rPr>
        <w:t>崇尚宪法、遵法守纪、崇德向善、诚实守信、尊重生命、热爱劳动，履行道德准则和行为规范，具有社会责任感和社会参与意识；</w:t>
      </w:r>
    </w:p>
    <w:p>
      <w:pPr>
        <w:spacing w:after="1" w:line="500" w:lineRule="exact"/>
        <w:ind w:firstLine="420" w:firstLineChars="200"/>
        <w:rPr>
          <w:rFonts w:asciiTheme="minorEastAsia" w:hAnsiTheme="minorEastAsia"/>
          <w:szCs w:val="21"/>
        </w:rPr>
      </w:pPr>
      <w:r>
        <w:rPr>
          <w:rFonts w:hint="eastAsia" w:cs="仿宋" w:asciiTheme="minorEastAsia" w:hAnsiTheme="minorEastAsia"/>
          <w:szCs w:val="21"/>
        </w:rPr>
        <w:t>（3）</w:t>
      </w:r>
      <w:r>
        <w:rPr>
          <w:rFonts w:cs="仿宋" w:asciiTheme="minorEastAsia" w:hAnsiTheme="minorEastAsia"/>
          <w:szCs w:val="21"/>
        </w:rPr>
        <w:t>具有质量意识、环保意识、安全意识、信息素养、工匠精神、创新思维；</w:t>
      </w:r>
    </w:p>
    <w:p>
      <w:pPr>
        <w:spacing w:after="1" w:line="500" w:lineRule="exact"/>
        <w:ind w:left="-15" w:firstLine="420" w:firstLineChars="200"/>
        <w:rPr>
          <w:rFonts w:asciiTheme="minorEastAsia" w:hAnsiTheme="minorEastAsia"/>
          <w:szCs w:val="21"/>
        </w:rPr>
      </w:pPr>
      <w:r>
        <w:rPr>
          <w:rFonts w:hint="eastAsia" w:cs="仿宋" w:asciiTheme="minorEastAsia" w:hAnsiTheme="minorEastAsia"/>
          <w:szCs w:val="21"/>
        </w:rPr>
        <w:t>（4）</w:t>
      </w:r>
      <w:r>
        <w:rPr>
          <w:rFonts w:cs="仿宋" w:asciiTheme="minorEastAsia" w:hAnsiTheme="minorEastAsia"/>
          <w:szCs w:val="21"/>
        </w:rPr>
        <w:t>勇于奋斗、乐观向上，具有自我管理能力、职业生涯规划的意识，有较强的集体意识和团队合作精神；</w:t>
      </w:r>
    </w:p>
    <w:p>
      <w:pPr>
        <w:spacing w:after="1" w:line="500" w:lineRule="exact"/>
        <w:ind w:left="-15" w:firstLine="420" w:firstLineChars="200"/>
        <w:rPr>
          <w:rFonts w:asciiTheme="minorEastAsia" w:hAnsiTheme="minorEastAsia"/>
          <w:szCs w:val="21"/>
        </w:rPr>
      </w:pPr>
      <w:r>
        <w:rPr>
          <w:rFonts w:hint="eastAsia" w:cs="仿宋" w:asciiTheme="minorEastAsia" w:hAnsiTheme="minorEastAsia"/>
          <w:szCs w:val="21"/>
        </w:rPr>
        <w:t>（</w:t>
      </w:r>
      <w:r>
        <w:rPr>
          <w:rFonts w:cs="仿宋" w:asciiTheme="minorEastAsia" w:hAnsiTheme="minorEastAsia"/>
          <w:szCs w:val="21"/>
        </w:rPr>
        <w:t>5</w:t>
      </w:r>
      <w:r>
        <w:rPr>
          <w:rFonts w:hint="eastAsia" w:cs="仿宋" w:asciiTheme="minorEastAsia" w:hAnsiTheme="minorEastAsia"/>
          <w:szCs w:val="21"/>
        </w:rPr>
        <w:t>）</w:t>
      </w:r>
      <w:r>
        <w:rPr>
          <w:rFonts w:cs="仿宋" w:asciiTheme="minorEastAsia" w:hAnsiTheme="minorEastAsia"/>
          <w:szCs w:val="21"/>
        </w:rPr>
        <w:t>具有健康的体魄、心理和健全的人格，掌握基本运动知识和一两项运动技能，养成良好的健身与卫生习惯，良好的行为习惯；</w:t>
      </w:r>
    </w:p>
    <w:p>
      <w:pPr>
        <w:adjustRightInd w:val="0"/>
        <w:snapToGrid w:val="0"/>
        <w:spacing w:line="500" w:lineRule="exact"/>
        <w:ind w:firstLine="420" w:firstLineChars="200"/>
        <w:rPr>
          <w:rFonts w:cs="MS Gothic" w:asciiTheme="minorEastAsia" w:hAnsiTheme="minorEastAsia"/>
          <w:szCs w:val="21"/>
        </w:rPr>
      </w:pPr>
      <w:r>
        <w:rPr>
          <w:rFonts w:hint="eastAsia" w:cs="仿宋" w:asciiTheme="minorEastAsia" w:hAnsiTheme="minorEastAsia"/>
          <w:szCs w:val="21"/>
        </w:rPr>
        <w:t>（6）</w:t>
      </w:r>
      <w:r>
        <w:rPr>
          <w:rFonts w:cs="仿宋" w:asciiTheme="minorEastAsia" w:hAnsiTheme="minorEastAsia"/>
          <w:szCs w:val="21"/>
        </w:rPr>
        <w:t>具有一定的审美和人文素养，能够形成一两项艺术特长或爱好。</w:t>
      </w:r>
    </w:p>
    <w:p>
      <w:pPr>
        <w:adjustRightInd w:val="0"/>
        <w:snapToGrid w:val="0"/>
        <w:spacing w:line="500" w:lineRule="exact"/>
        <w:ind w:firstLine="420" w:firstLineChars="200"/>
        <w:rPr>
          <w:rFonts w:cs="MS Gothic" w:asciiTheme="minorEastAsia" w:hAnsiTheme="minorEastAsia"/>
          <w:szCs w:val="21"/>
        </w:rPr>
      </w:pPr>
      <w:r>
        <w:rPr>
          <w:rFonts w:cs="MS Gothic" w:asciiTheme="minorEastAsia" w:hAnsiTheme="minorEastAsia"/>
          <w:szCs w:val="21"/>
        </w:rPr>
        <w:t>2</w:t>
      </w:r>
      <w:r>
        <w:rPr>
          <w:rFonts w:asciiTheme="minorEastAsia" w:hAnsiTheme="minorEastAsia"/>
          <w:szCs w:val="21"/>
        </w:rPr>
        <w:t>．</w:t>
      </w:r>
      <w:r>
        <w:rPr>
          <w:rFonts w:cs="MS Gothic" w:asciiTheme="minorEastAsia" w:hAnsiTheme="minorEastAsia"/>
          <w:szCs w:val="21"/>
        </w:rPr>
        <w:t>知识</w:t>
      </w:r>
      <w:r>
        <w:rPr>
          <w:rFonts w:hint="eastAsia" w:cs="MS Gothic" w:asciiTheme="minorEastAsia" w:hAnsiTheme="minorEastAsia"/>
          <w:szCs w:val="21"/>
        </w:rPr>
        <w:t>要求</w:t>
      </w:r>
    </w:p>
    <w:p>
      <w:pPr>
        <w:spacing w:after="1" w:line="500" w:lineRule="exact"/>
        <w:ind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掌握必备的思想政治理论、科学文化基础知识和中华优秀传统文化知识；</w:t>
      </w:r>
    </w:p>
    <w:p>
      <w:pPr>
        <w:spacing w:after="1" w:line="500" w:lineRule="exact"/>
        <w:ind w:firstLine="420" w:firstLineChars="200"/>
        <w:rPr>
          <w:rFonts w:asciiTheme="minorEastAsia" w:hAnsiTheme="minorEastAsia"/>
          <w:szCs w:val="21"/>
        </w:rPr>
      </w:pPr>
      <w:r>
        <w:rPr>
          <w:rFonts w:hint="eastAsia" w:cs="仿宋" w:asciiTheme="minorEastAsia" w:hAnsiTheme="minorEastAsia"/>
          <w:szCs w:val="21"/>
        </w:rPr>
        <w:t>（2）</w:t>
      </w:r>
      <w:r>
        <w:rPr>
          <w:rFonts w:cs="仿宋" w:asciiTheme="minorEastAsia" w:hAnsiTheme="minorEastAsia"/>
          <w:szCs w:val="21"/>
        </w:rPr>
        <w:t>熟悉与本专业相关的法律法规以及环境保护、安全消防、文明生产等相关知识；</w:t>
      </w:r>
    </w:p>
    <w:p>
      <w:pPr>
        <w:spacing w:after="104" w:line="500" w:lineRule="exact"/>
        <w:ind w:firstLine="420" w:firstLineChars="200"/>
        <w:rPr>
          <w:rFonts w:asciiTheme="minorEastAsia" w:hAnsiTheme="minorEastAsia"/>
          <w:szCs w:val="21"/>
        </w:rPr>
      </w:pPr>
      <w:r>
        <w:rPr>
          <w:rFonts w:hint="eastAsia" w:cs="仿宋" w:asciiTheme="minorEastAsia" w:hAnsiTheme="minorEastAsia"/>
          <w:szCs w:val="21"/>
        </w:rPr>
        <w:t>（3）</w:t>
      </w:r>
      <w:r>
        <w:rPr>
          <w:rFonts w:cs="仿宋" w:asciiTheme="minorEastAsia" w:hAnsiTheme="minorEastAsia"/>
          <w:szCs w:val="21"/>
        </w:rPr>
        <w:t>掌握</w:t>
      </w:r>
      <w:r>
        <w:rPr>
          <w:rFonts w:hint="eastAsia" w:cs="仿宋" w:asciiTheme="minorEastAsia" w:hAnsiTheme="minorEastAsia"/>
          <w:szCs w:val="21"/>
        </w:rPr>
        <w:t>计算机基础知识和CAD绘图</w:t>
      </w:r>
      <w:r>
        <w:rPr>
          <w:rFonts w:cs="仿宋" w:asciiTheme="minorEastAsia" w:hAnsiTheme="minorEastAsia"/>
          <w:szCs w:val="21"/>
        </w:rPr>
        <w:t>的基本方法；</w:t>
      </w:r>
    </w:p>
    <w:p>
      <w:pPr>
        <w:spacing w:after="104" w:line="500" w:lineRule="exact"/>
        <w:ind w:firstLine="420" w:firstLineChars="200"/>
        <w:rPr>
          <w:rFonts w:asciiTheme="minorEastAsia" w:hAnsiTheme="minorEastAsia"/>
          <w:szCs w:val="21"/>
        </w:rPr>
      </w:pPr>
      <w:r>
        <w:rPr>
          <w:rFonts w:hint="eastAsia" w:cs="仿宋" w:asciiTheme="minorEastAsia" w:hAnsiTheme="minorEastAsia"/>
          <w:szCs w:val="21"/>
        </w:rPr>
        <w:t>（4）</w:t>
      </w:r>
      <w:r>
        <w:rPr>
          <w:rFonts w:cs="仿宋" w:asciiTheme="minorEastAsia" w:hAnsiTheme="minorEastAsia"/>
          <w:szCs w:val="21"/>
        </w:rPr>
        <w:t>掌握</w:t>
      </w:r>
      <w:r>
        <w:rPr>
          <w:rFonts w:hint="eastAsia" w:cs="仿宋" w:asciiTheme="minorEastAsia" w:hAnsiTheme="minorEastAsia"/>
          <w:szCs w:val="21"/>
        </w:rPr>
        <w:t>全站仪、水准仪操作的基本方法</w:t>
      </w:r>
      <w:r>
        <w:rPr>
          <w:rFonts w:cs="仿宋" w:asciiTheme="minorEastAsia" w:hAnsiTheme="minorEastAsia"/>
          <w:szCs w:val="21"/>
        </w:rPr>
        <w:t>；</w:t>
      </w:r>
    </w:p>
    <w:p>
      <w:pPr>
        <w:spacing w:after="107" w:line="500" w:lineRule="exact"/>
        <w:ind w:firstLine="420" w:firstLineChars="200"/>
        <w:rPr>
          <w:rFonts w:asciiTheme="minorEastAsia" w:hAnsiTheme="minorEastAsia"/>
          <w:szCs w:val="21"/>
        </w:rPr>
      </w:pPr>
      <w:r>
        <w:rPr>
          <w:rFonts w:hint="eastAsia" w:cs="仿宋" w:asciiTheme="minorEastAsia" w:hAnsiTheme="minorEastAsia"/>
          <w:szCs w:val="21"/>
        </w:rPr>
        <w:t>（5）</w:t>
      </w:r>
      <w:r>
        <w:rPr>
          <w:rFonts w:cs="仿宋" w:asciiTheme="minorEastAsia" w:hAnsiTheme="minorEastAsia"/>
          <w:szCs w:val="21"/>
        </w:rPr>
        <w:t>掌握</w:t>
      </w:r>
      <w:r>
        <w:rPr>
          <w:rFonts w:hint="eastAsia" w:cs="仿宋" w:asciiTheme="minorEastAsia" w:hAnsiTheme="minorEastAsia"/>
          <w:szCs w:val="21"/>
        </w:rPr>
        <w:t>导线测量和三四等水准测量的原理与方法</w:t>
      </w:r>
      <w:r>
        <w:rPr>
          <w:rFonts w:cs="仿宋" w:asciiTheme="minorEastAsia" w:hAnsiTheme="minorEastAsia"/>
          <w:szCs w:val="21"/>
        </w:rPr>
        <w:t>；</w:t>
      </w:r>
    </w:p>
    <w:p>
      <w:pPr>
        <w:spacing w:after="3" w:line="500" w:lineRule="exact"/>
        <w:ind w:left="-15" w:firstLine="420" w:firstLineChars="200"/>
        <w:rPr>
          <w:rFonts w:asciiTheme="minorEastAsia" w:hAnsiTheme="minorEastAsia"/>
          <w:szCs w:val="21"/>
        </w:rPr>
      </w:pPr>
      <w:r>
        <w:rPr>
          <w:rFonts w:hint="eastAsia" w:cs="仿宋" w:asciiTheme="minorEastAsia" w:hAnsiTheme="minorEastAsia"/>
          <w:szCs w:val="21"/>
        </w:rPr>
        <w:t>（6）</w:t>
      </w:r>
      <w:r>
        <w:rPr>
          <w:rFonts w:cs="仿宋" w:asciiTheme="minorEastAsia" w:hAnsiTheme="minorEastAsia"/>
          <w:szCs w:val="21"/>
        </w:rPr>
        <w:t>掌握</w:t>
      </w:r>
      <w:r>
        <w:rPr>
          <w:rFonts w:hint="eastAsia" w:cs="仿宋" w:asciiTheme="minorEastAsia" w:hAnsiTheme="minorEastAsia"/>
          <w:szCs w:val="21"/>
        </w:rPr>
        <w:t>GNSS测量基本原理、外业操作和内业数据处理的基本方法</w:t>
      </w:r>
      <w:r>
        <w:rPr>
          <w:rFonts w:cs="仿宋" w:asciiTheme="minorEastAsia" w:hAnsiTheme="minorEastAsia"/>
          <w:szCs w:val="21"/>
        </w:rPr>
        <w:t>；</w:t>
      </w:r>
    </w:p>
    <w:p>
      <w:pPr>
        <w:spacing w:after="3" w:line="500" w:lineRule="exact"/>
        <w:ind w:firstLine="420" w:firstLineChars="200"/>
        <w:rPr>
          <w:rFonts w:asciiTheme="minorEastAsia" w:hAnsiTheme="minorEastAsia"/>
          <w:szCs w:val="21"/>
        </w:rPr>
      </w:pPr>
      <w:r>
        <w:rPr>
          <w:rFonts w:hint="eastAsia" w:cs="仿宋" w:asciiTheme="minorEastAsia" w:hAnsiTheme="minorEastAsia"/>
          <w:szCs w:val="21"/>
        </w:rPr>
        <w:t>（7）</w:t>
      </w:r>
      <w:r>
        <w:rPr>
          <w:rFonts w:cs="仿宋" w:asciiTheme="minorEastAsia" w:hAnsiTheme="minorEastAsia"/>
          <w:szCs w:val="21"/>
        </w:rPr>
        <w:t>掌握</w:t>
      </w:r>
      <w:r>
        <w:rPr>
          <w:rFonts w:hint="eastAsia" w:cs="仿宋" w:asciiTheme="minorEastAsia" w:hAnsiTheme="minorEastAsia"/>
          <w:szCs w:val="21"/>
        </w:rPr>
        <w:t>线路测量、工业与民用建筑测量、地下工程测量的原理与方法</w:t>
      </w:r>
      <w:r>
        <w:rPr>
          <w:rFonts w:cs="仿宋" w:asciiTheme="minorEastAsia" w:hAnsiTheme="minorEastAsia"/>
          <w:szCs w:val="21"/>
        </w:rPr>
        <w:t>；</w:t>
      </w:r>
    </w:p>
    <w:p>
      <w:pPr>
        <w:spacing w:after="3" w:line="500" w:lineRule="exact"/>
        <w:ind w:firstLine="420" w:firstLineChars="200"/>
        <w:rPr>
          <w:rFonts w:asciiTheme="minorEastAsia" w:hAnsiTheme="minorEastAsia"/>
          <w:szCs w:val="21"/>
        </w:rPr>
      </w:pPr>
      <w:r>
        <w:rPr>
          <w:rFonts w:hint="eastAsia" w:cs="仿宋" w:asciiTheme="minorEastAsia" w:hAnsiTheme="minorEastAsia"/>
          <w:szCs w:val="21"/>
        </w:rPr>
        <w:t>（8）</w:t>
      </w:r>
      <w:r>
        <w:rPr>
          <w:rFonts w:cs="仿宋" w:asciiTheme="minorEastAsia" w:hAnsiTheme="minorEastAsia"/>
          <w:szCs w:val="21"/>
        </w:rPr>
        <w:t>掌握</w:t>
      </w:r>
      <w:r>
        <w:rPr>
          <w:rFonts w:hint="eastAsia" w:cs="仿宋" w:asciiTheme="minorEastAsia" w:hAnsiTheme="minorEastAsia"/>
          <w:szCs w:val="21"/>
        </w:rPr>
        <w:t>水平位移变形监测和垂直位移变形监测的原理与方法</w:t>
      </w:r>
      <w:r>
        <w:rPr>
          <w:rFonts w:cs="仿宋" w:asciiTheme="minorEastAsia" w:hAnsiTheme="minorEastAsia"/>
          <w:szCs w:val="21"/>
        </w:rPr>
        <w:t>；</w:t>
      </w:r>
    </w:p>
    <w:p>
      <w:pPr>
        <w:spacing w:after="3" w:line="500" w:lineRule="exact"/>
        <w:ind w:left="-15" w:firstLine="420" w:firstLineChars="200"/>
        <w:rPr>
          <w:rFonts w:asciiTheme="minorEastAsia" w:hAnsiTheme="minorEastAsia"/>
          <w:szCs w:val="21"/>
        </w:rPr>
      </w:pPr>
      <w:r>
        <w:rPr>
          <w:rFonts w:hint="eastAsia" w:cs="仿宋" w:asciiTheme="minorEastAsia" w:hAnsiTheme="minorEastAsia"/>
          <w:szCs w:val="21"/>
        </w:rPr>
        <w:t>（9）</w:t>
      </w:r>
      <w:r>
        <w:rPr>
          <w:rFonts w:cs="仿宋" w:asciiTheme="minorEastAsia" w:hAnsiTheme="minorEastAsia"/>
          <w:szCs w:val="21"/>
        </w:rPr>
        <w:t>掌握</w:t>
      </w:r>
      <w:r>
        <w:rPr>
          <w:rFonts w:hint="eastAsia" w:cs="仿宋" w:asciiTheme="minorEastAsia" w:hAnsiTheme="minorEastAsia"/>
          <w:szCs w:val="21"/>
        </w:rPr>
        <w:t>无人机摄影测量的外业数据采集与内业数据处理的原理与方法</w:t>
      </w:r>
      <w:r>
        <w:rPr>
          <w:rFonts w:cs="仿宋" w:asciiTheme="minorEastAsia" w:hAnsiTheme="minorEastAsia"/>
          <w:szCs w:val="21"/>
        </w:rPr>
        <w:t>；</w:t>
      </w:r>
    </w:p>
    <w:p>
      <w:pPr>
        <w:spacing w:after="3" w:line="500" w:lineRule="exact"/>
        <w:ind w:left="-15"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0</w:t>
      </w:r>
      <w:r>
        <w:rPr>
          <w:rFonts w:hint="eastAsia" w:cs="仿宋" w:asciiTheme="minorEastAsia" w:hAnsiTheme="minorEastAsia"/>
          <w:szCs w:val="21"/>
        </w:rPr>
        <w:t>）</w:t>
      </w:r>
      <w:r>
        <w:rPr>
          <w:rFonts w:cs="仿宋" w:asciiTheme="minorEastAsia" w:hAnsiTheme="minorEastAsia"/>
          <w:szCs w:val="21"/>
        </w:rPr>
        <w:t>掌握</w:t>
      </w:r>
      <w:r>
        <w:rPr>
          <w:rFonts w:hint="eastAsia" w:cs="仿宋" w:asciiTheme="minorEastAsia" w:hAnsiTheme="minorEastAsia"/>
          <w:szCs w:val="21"/>
        </w:rPr>
        <w:t>遥感基础</w:t>
      </w:r>
      <w:r>
        <w:rPr>
          <w:rFonts w:cs="仿宋" w:asciiTheme="minorEastAsia" w:hAnsiTheme="minorEastAsia"/>
          <w:szCs w:val="21"/>
        </w:rPr>
        <w:t>知识</w:t>
      </w:r>
      <w:r>
        <w:rPr>
          <w:rFonts w:hint="eastAsia" w:cs="仿宋" w:asciiTheme="minorEastAsia" w:hAnsiTheme="minorEastAsia"/>
          <w:szCs w:val="21"/>
        </w:rPr>
        <w:t>与软件数据处理基本方法</w:t>
      </w:r>
      <w:r>
        <w:rPr>
          <w:rFonts w:cs="仿宋" w:asciiTheme="minorEastAsia" w:hAnsiTheme="minorEastAsia"/>
          <w:szCs w:val="21"/>
        </w:rPr>
        <w:t>；</w:t>
      </w:r>
    </w:p>
    <w:p>
      <w:pPr>
        <w:spacing w:after="3" w:line="500" w:lineRule="exact"/>
        <w:ind w:left="-15"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1</w:t>
      </w:r>
      <w:r>
        <w:rPr>
          <w:rFonts w:hint="eastAsia" w:cs="仿宋" w:asciiTheme="minorEastAsia" w:hAnsiTheme="minorEastAsia"/>
          <w:szCs w:val="21"/>
        </w:rPr>
        <w:t>）掌握测绘地理信息技术原理与软件操作</w:t>
      </w:r>
      <w:r>
        <w:rPr>
          <w:rFonts w:cs="仿宋" w:asciiTheme="minorEastAsia" w:hAnsiTheme="minorEastAsia"/>
          <w:szCs w:val="21"/>
        </w:rPr>
        <w:t>；</w:t>
      </w:r>
    </w:p>
    <w:p>
      <w:pPr>
        <w:adjustRightInd w:val="0"/>
        <w:snapToGrid w:val="0"/>
        <w:spacing w:line="500" w:lineRule="exact"/>
        <w:ind w:firstLine="420" w:firstLineChars="200"/>
        <w:rPr>
          <w:rFonts w:cs="仿宋"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2</w:t>
      </w:r>
      <w:r>
        <w:rPr>
          <w:rFonts w:hint="eastAsia" w:cs="仿宋" w:asciiTheme="minorEastAsia" w:hAnsiTheme="minorEastAsia"/>
          <w:szCs w:val="21"/>
        </w:rPr>
        <w:t>）</w:t>
      </w:r>
      <w:r>
        <w:rPr>
          <w:rFonts w:cs="仿宋" w:asciiTheme="minorEastAsia" w:hAnsiTheme="minorEastAsia"/>
          <w:szCs w:val="21"/>
        </w:rPr>
        <w:t>了解本行业相关的企业生产现场管理、项目管理、市场营销等基础知识。</w:t>
      </w:r>
    </w:p>
    <w:p>
      <w:pPr>
        <w:adjustRightInd w:val="0"/>
        <w:snapToGrid w:val="0"/>
        <w:spacing w:line="500" w:lineRule="exact"/>
        <w:ind w:firstLine="420" w:firstLineChars="200"/>
        <w:rPr>
          <w:rFonts w:cs="MS Gothic" w:asciiTheme="minorEastAsia" w:hAnsiTheme="minorEastAsia"/>
          <w:szCs w:val="21"/>
        </w:rPr>
      </w:pPr>
      <w:r>
        <w:rPr>
          <w:rFonts w:cs="MS Gothic" w:asciiTheme="minorEastAsia" w:hAnsiTheme="minorEastAsia"/>
          <w:szCs w:val="21"/>
        </w:rPr>
        <w:t>3</w:t>
      </w:r>
      <w:r>
        <w:rPr>
          <w:rFonts w:asciiTheme="minorEastAsia" w:hAnsiTheme="minorEastAsia"/>
          <w:szCs w:val="21"/>
        </w:rPr>
        <w:t>．</w:t>
      </w:r>
      <w:r>
        <w:rPr>
          <w:rFonts w:cs="MS Gothic" w:asciiTheme="minorEastAsia" w:hAnsiTheme="minorEastAsia"/>
          <w:szCs w:val="21"/>
        </w:rPr>
        <w:t>能力</w:t>
      </w:r>
      <w:r>
        <w:rPr>
          <w:rFonts w:hint="eastAsia" w:cs="MS Gothic" w:asciiTheme="minorEastAsia" w:hAnsiTheme="minorEastAsia"/>
          <w:szCs w:val="21"/>
        </w:rPr>
        <w:t>要求</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具有探究学习、终身学习、分析问题和解决问题的能力；</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（2）</w:t>
      </w:r>
      <w:r>
        <w:rPr>
          <w:rFonts w:cs="仿宋" w:asciiTheme="minorEastAsia" w:hAnsiTheme="minorEastAsia"/>
          <w:szCs w:val="21"/>
        </w:rPr>
        <w:t>具有良好的语言、文字表达能力和沟通能力；</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（3）</w:t>
      </w:r>
      <w:r>
        <w:rPr>
          <w:rFonts w:cs="仿宋" w:asciiTheme="minorEastAsia" w:hAnsiTheme="minorEastAsia"/>
          <w:szCs w:val="21"/>
        </w:rPr>
        <w:t>具有本专业必需的信息技术应用和维护能力,掌握常用文献检索工具应用；</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（4）</w:t>
      </w:r>
      <w:r>
        <w:rPr>
          <w:rFonts w:cs="仿宋" w:asciiTheme="minorEastAsia" w:hAnsiTheme="minorEastAsia"/>
          <w:szCs w:val="21"/>
        </w:rPr>
        <w:t>能够撰写符合规范要求的技术报告、项目报告等本专业领域技术文档；</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（5）</w:t>
      </w:r>
      <w:r>
        <w:rPr>
          <w:rFonts w:cs="仿宋" w:asciiTheme="minorEastAsia" w:hAnsiTheme="minorEastAsia"/>
          <w:szCs w:val="21"/>
        </w:rPr>
        <w:t>能够识读和绘制各类</w:t>
      </w:r>
      <w:r>
        <w:rPr>
          <w:rFonts w:hint="eastAsia" w:cs="仿宋" w:asciiTheme="minorEastAsia" w:hAnsiTheme="minorEastAsia"/>
          <w:szCs w:val="21"/>
        </w:rPr>
        <w:t>地形图、点位变形图等</w:t>
      </w:r>
      <w:r>
        <w:rPr>
          <w:rFonts w:cs="仿宋" w:asciiTheme="minorEastAsia" w:hAnsiTheme="minorEastAsia"/>
          <w:szCs w:val="21"/>
        </w:rPr>
        <w:t>；</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（6）</w:t>
      </w:r>
      <w:r>
        <w:rPr>
          <w:rFonts w:cs="仿宋" w:asciiTheme="minorEastAsia" w:hAnsiTheme="minorEastAsia"/>
          <w:szCs w:val="21"/>
        </w:rPr>
        <w:t>能够熟练使用常用</w:t>
      </w:r>
      <w:r>
        <w:rPr>
          <w:rFonts w:hint="eastAsia" w:cs="仿宋" w:asciiTheme="minorEastAsia" w:hAnsiTheme="minorEastAsia"/>
          <w:szCs w:val="21"/>
        </w:rPr>
        <w:t>全站仪、水准仪、GNSS等仪器设备</w:t>
      </w:r>
      <w:r>
        <w:rPr>
          <w:rFonts w:cs="仿宋" w:asciiTheme="minorEastAsia" w:hAnsiTheme="minorEastAsia"/>
          <w:szCs w:val="21"/>
        </w:rPr>
        <w:t>；</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（7）</w:t>
      </w:r>
      <w:r>
        <w:rPr>
          <w:rFonts w:cs="仿宋" w:asciiTheme="minorEastAsia" w:hAnsiTheme="minorEastAsia"/>
          <w:szCs w:val="21"/>
        </w:rPr>
        <w:t>能够进行</w:t>
      </w:r>
      <w:r>
        <w:rPr>
          <w:rFonts w:hint="eastAsia" w:cs="仿宋" w:asciiTheme="minorEastAsia" w:hAnsiTheme="minorEastAsia"/>
          <w:szCs w:val="21"/>
        </w:rPr>
        <w:t>无人机外业数据采集与内业数据处理</w:t>
      </w:r>
      <w:r>
        <w:rPr>
          <w:rFonts w:cs="仿宋" w:asciiTheme="minorEastAsia" w:hAnsiTheme="minorEastAsia"/>
          <w:szCs w:val="21"/>
        </w:rPr>
        <w:t>；</w:t>
      </w:r>
    </w:p>
    <w:p>
      <w:pPr>
        <w:spacing w:line="500" w:lineRule="exact"/>
        <w:ind w:left="-15" w:firstLine="420" w:firstLineChars="200"/>
        <w:rPr>
          <w:rFonts w:asciiTheme="minorEastAsia" w:hAnsiTheme="minorEastAsia"/>
          <w:szCs w:val="21"/>
        </w:rPr>
      </w:pPr>
      <w:r>
        <w:rPr>
          <w:rFonts w:hint="eastAsia" w:cs="仿宋" w:asciiTheme="minorEastAsia" w:hAnsiTheme="minorEastAsia"/>
          <w:szCs w:val="21"/>
        </w:rPr>
        <w:t>（8）</w:t>
      </w:r>
      <w:r>
        <w:rPr>
          <w:rFonts w:cs="仿宋" w:asciiTheme="minorEastAsia" w:hAnsiTheme="minorEastAsia"/>
          <w:szCs w:val="21"/>
        </w:rPr>
        <w:t>能够</w:t>
      </w:r>
      <w:r>
        <w:rPr>
          <w:rFonts w:hint="eastAsia" w:cs="仿宋" w:asciiTheme="minorEastAsia" w:hAnsiTheme="minorEastAsia"/>
          <w:szCs w:val="21"/>
        </w:rPr>
        <w:t>布设三四等平面控制网、图根控制网和三四等高程控制网</w:t>
      </w:r>
      <w:r>
        <w:rPr>
          <w:rFonts w:cs="仿宋" w:asciiTheme="minorEastAsia" w:hAnsiTheme="minorEastAsia"/>
          <w:szCs w:val="21"/>
        </w:rPr>
        <w:t>；</w:t>
      </w:r>
    </w:p>
    <w:p>
      <w:pPr>
        <w:spacing w:line="500" w:lineRule="exact"/>
        <w:ind w:left="-15" w:firstLine="420" w:firstLineChars="200"/>
        <w:rPr>
          <w:rFonts w:asciiTheme="minorEastAsia" w:hAnsiTheme="minorEastAsia"/>
          <w:szCs w:val="21"/>
        </w:rPr>
      </w:pPr>
      <w:r>
        <w:rPr>
          <w:rFonts w:hint="eastAsia" w:cs="仿宋" w:asciiTheme="minorEastAsia" w:hAnsiTheme="minorEastAsia"/>
          <w:szCs w:val="21"/>
        </w:rPr>
        <w:t>（9）</w:t>
      </w:r>
      <w:r>
        <w:rPr>
          <w:rFonts w:cs="仿宋" w:asciiTheme="minorEastAsia" w:hAnsiTheme="minorEastAsia"/>
          <w:szCs w:val="21"/>
        </w:rPr>
        <w:t>能够</w:t>
      </w:r>
      <w:r>
        <w:rPr>
          <w:rFonts w:hint="eastAsia" w:cs="仿宋" w:asciiTheme="minorEastAsia" w:hAnsiTheme="minorEastAsia"/>
          <w:szCs w:val="21"/>
        </w:rPr>
        <w:t>使用先进设备进行变形监测和数据处理</w:t>
      </w:r>
      <w:r>
        <w:rPr>
          <w:rFonts w:cs="仿宋" w:asciiTheme="minorEastAsia" w:hAnsiTheme="minorEastAsia"/>
          <w:szCs w:val="21"/>
        </w:rPr>
        <w:t>；</w:t>
      </w:r>
    </w:p>
    <w:p>
      <w:pPr>
        <w:spacing w:line="500" w:lineRule="exact"/>
        <w:ind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0</w:t>
      </w:r>
      <w:r>
        <w:rPr>
          <w:rFonts w:hint="eastAsia" w:cs="仿宋" w:asciiTheme="minorEastAsia" w:hAnsiTheme="minorEastAsia"/>
          <w:szCs w:val="21"/>
        </w:rPr>
        <w:t>）</w:t>
      </w:r>
      <w:r>
        <w:rPr>
          <w:rFonts w:cs="仿宋" w:asciiTheme="minorEastAsia" w:hAnsiTheme="minorEastAsia"/>
          <w:szCs w:val="21"/>
        </w:rPr>
        <w:t>能够</w:t>
      </w:r>
      <w:r>
        <w:rPr>
          <w:rFonts w:hint="eastAsia" w:cs="仿宋" w:asciiTheme="minorEastAsia" w:hAnsiTheme="minorEastAsia"/>
          <w:szCs w:val="21"/>
        </w:rPr>
        <w:t>使用常用GIS软件进行数据处理</w:t>
      </w:r>
      <w:r>
        <w:rPr>
          <w:rFonts w:cs="仿宋" w:asciiTheme="minorEastAsia" w:hAnsiTheme="minorEastAsia"/>
          <w:szCs w:val="21"/>
        </w:rPr>
        <w:t>；</w:t>
      </w:r>
    </w:p>
    <w:p>
      <w:pPr>
        <w:spacing w:line="500" w:lineRule="exact"/>
        <w:ind w:left="-15" w:firstLine="420" w:firstLineChars="200"/>
        <w:rPr>
          <w:rFonts w:asciiTheme="minorEastAsia" w:hAnsiTheme="minorEastAsia"/>
          <w:szCs w:val="21"/>
        </w:rPr>
      </w:pPr>
      <w:r>
        <w:rPr>
          <w:rFonts w:hint="eastAsia" w:cs="仿宋" w:asciiTheme="minorEastAsia" w:hAnsiTheme="minorEastAsia"/>
          <w:szCs w:val="21"/>
        </w:rPr>
        <w:t>（1</w:t>
      </w:r>
      <w:r>
        <w:rPr>
          <w:rFonts w:cs="仿宋" w:asciiTheme="minorEastAsia" w:hAnsiTheme="minorEastAsia"/>
          <w:szCs w:val="21"/>
        </w:rPr>
        <w:t>1</w:t>
      </w:r>
      <w:r>
        <w:rPr>
          <w:rFonts w:hint="eastAsia" w:cs="仿宋" w:asciiTheme="minorEastAsia" w:hAnsiTheme="minorEastAsia"/>
          <w:szCs w:val="21"/>
        </w:rPr>
        <w:t>）</w:t>
      </w:r>
      <w:r>
        <w:rPr>
          <w:rFonts w:cs="仿宋" w:asciiTheme="minorEastAsia" w:hAnsiTheme="minorEastAsia"/>
          <w:szCs w:val="21"/>
        </w:rPr>
        <w:t>能够</w:t>
      </w:r>
      <w:r>
        <w:rPr>
          <w:rFonts w:hint="eastAsia" w:cs="仿宋" w:asciiTheme="minorEastAsia" w:hAnsiTheme="minorEastAsia"/>
          <w:szCs w:val="21"/>
        </w:rPr>
        <w:t>进行公路、铁路、建筑行业的工程测量</w:t>
      </w:r>
      <w:r>
        <w:rPr>
          <w:rFonts w:cs="仿宋" w:asciiTheme="minorEastAsia" w:hAnsiTheme="minorEastAsia"/>
          <w:szCs w:val="21"/>
        </w:rPr>
        <w:t>。</w:t>
      </w:r>
    </w:p>
    <w:p>
      <w:pPr>
        <w:pStyle w:val="2"/>
      </w:pPr>
      <w:bookmarkStart w:id="11" w:name="_Toc7340061"/>
      <w:r>
        <w:rPr>
          <w:rFonts w:hint="eastAsia"/>
        </w:rPr>
        <w:t>三、工作任务分析与专业能力课程设置</w:t>
      </w:r>
      <w:bookmarkEnd w:id="11"/>
    </w:p>
    <w:p>
      <w:pPr>
        <w:pStyle w:val="3"/>
        <w:rPr>
          <w:sz w:val="24"/>
          <w:szCs w:val="24"/>
        </w:rPr>
      </w:pPr>
      <w:bookmarkStart w:id="12" w:name="_Toc7340062"/>
      <w:r>
        <w:rPr>
          <w:rFonts w:hint="eastAsia"/>
          <w:sz w:val="24"/>
          <w:szCs w:val="24"/>
        </w:rPr>
        <w:t>1.【典型工作任务与职业能力分析】</w:t>
      </w:r>
      <w:bookmarkEnd w:id="12"/>
      <w:r>
        <w:rPr>
          <w:rFonts w:hint="eastAsia"/>
          <w:sz w:val="24"/>
          <w:szCs w:val="24"/>
        </w:rPr>
        <w:t xml:space="preserve"> </w:t>
      </w:r>
    </w:p>
    <w:p>
      <w:pPr>
        <w:ind w:firstLine="420"/>
        <w:rPr>
          <w:rFonts w:asciiTheme="majorEastAsia" w:hAnsiTheme="majorEastAsia" w:eastAsiaTheme="majorEastAsia"/>
        </w:rPr>
      </w:pPr>
      <w:r>
        <w:rPr>
          <w:rFonts w:hint="eastAsia" w:asciiTheme="majorEastAsia" w:hAnsiTheme="majorEastAsia" w:eastAsiaTheme="majorEastAsia"/>
        </w:rPr>
        <w:t>每个专业12-15个典型工作任务，排列组合成相应课程。</w:t>
      </w:r>
    </w:p>
    <w:tbl>
      <w:tblPr>
        <w:tblStyle w:val="14"/>
        <w:tblW w:w="84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918"/>
        <w:gridCol w:w="65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9"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szCs w:val="21"/>
              </w:rPr>
            </w:pPr>
            <w:bookmarkStart w:id="13" w:name="OLE_LINK1"/>
            <w:bookmarkStart w:id="14" w:name="OLE_LINK2"/>
            <w:r>
              <w:rPr>
                <w:rFonts w:hint="eastAsia" w:ascii="宋体" w:hAnsi="宋体"/>
                <w:szCs w:val="21"/>
              </w:rPr>
              <w:t>典型工作任务</w:t>
            </w: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center"/>
              <w:rPr>
                <w:rFonts w:ascii="宋体" w:hAnsi="宋体"/>
                <w:szCs w:val="21"/>
              </w:rPr>
            </w:pPr>
            <w:r>
              <w:rPr>
                <w:rFonts w:hint="eastAsia" w:ascii="宋体" w:hAnsi="宋体" w:cs="宋体"/>
                <w:szCs w:val="21"/>
              </w:rPr>
              <w:t>工作内容描述</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szCs w:val="21"/>
              </w:rPr>
            </w:pPr>
            <w:r>
              <w:rPr>
                <w:rFonts w:hint="eastAsia" w:ascii="宋体" w:hAnsi="宋体"/>
                <w:szCs w:val="21"/>
              </w:rPr>
              <w:t>职业素质与能力要求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7" w:hRule="atLeast"/>
        </w:trPr>
        <w:tc>
          <w:tcPr>
            <w:tcW w:w="959" w:type="dxa"/>
            <w:vMerge w:val="restart"/>
            <w:tcBorders>
              <w:left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控制测量</w:t>
            </w: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测量技术基础</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1.了解平面控制测量基本原理；</w:t>
            </w:r>
          </w:p>
          <w:p>
            <w:pPr>
              <w:spacing w:line="276" w:lineRule="auto"/>
              <w:jc w:val="left"/>
              <w:rPr>
                <w:rFonts w:ascii="宋体" w:hAnsi="宋体"/>
                <w:szCs w:val="21"/>
              </w:rPr>
            </w:pPr>
            <w:r>
              <w:rPr>
                <w:rFonts w:hint="eastAsia" w:ascii="宋体" w:hAnsi="宋体"/>
                <w:szCs w:val="21"/>
              </w:rPr>
              <w:t>2.掌握水准测量的原理与水准仪操作；</w:t>
            </w:r>
          </w:p>
          <w:p>
            <w:pPr>
              <w:spacing w:line="276" w:lineRule="auto"/>
              <w:jc w:val="left"/>
              <w:rPr>
                <w:rFonts w:ascii="宋体" w:hAnsi="宋体"/>
                <w:szCs w:val="21"/>
              </w:rPr>
            </w:pPr>
            <w:r>
              <w:rPr>
                <w:rFonts w:hint="eastAsia" w:ascii="宋体" w:hAnsi="宋体"/>
                <w:szCs w:val="21"/>
              </w:rPr>
              <w:t>3.全站仪的操作；</w:t>
            </w:r>
          </w:p>
          <w:p>
            <w:pPr>
              <w:spacing w:line="276" w:lineRule="auto"/>
              <w:jc w:val="left"/>
              <w:rPr>
                <w:rFonts w:ascii="宋体" w:hAnsi="宋体"/>
                <w:szCs w:val="21"/>
              </w:rPr>
            </w:pPr>
            <w:r>
              <w:rPr>
                <w:rFonts w:hint="eastAsia" w:ascii="宋体" w:hAnsi="宋体"/>
                <w:szCs w:val="21"/>
              </w:rPr>
              <w:t>4.导线控制网的布设、观测与计算；</w:t>
            </w:r>
          </w:p>
          <w:p>
            <w:pPr>
              <w:spacing w:line="276" w:lineRule="auto"/>
              <w:jc w:val="left"/>
              <w:rPr>
                <w:rFonts w:ascii="宋体" w:hAnsi="宋体"/>
                <w:szCs w:val="21"/>
              </w:rPr>
            </w:pPr>
            <w:r>
              <w:rPr>
                <w:rFonts w:hint="eastAsia" w:ascii="宋体" w:hAnsi="宋体"/>
                <w:szCs w:val="21"/>
              </w:rPr>
              <w:t>5.三四等水准测量控制网布设与平差技术；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continue"/>
            <w:tcBorders>
              <w:left w:val="single" w:color="000000" w:sz="4" w:space="0"/>
              <w:right w:val="single" w:color="000000" w:sz="4" w:space="0"/>
            </w:tcBorders>
            <w:vAlign w:val="center"/>
          </w:tcPr>
          <w:p>
            <w:pPr>
              <w:spacing w:line="276" w:lineRule="auto"/>
              <w:jc w:val="left"/>
              <w:rPr>
                <w:rFonts w:ascii="宋体" w:hAnsi="宋体"/>
                <w:szCs w:val="21"/>
              </w:rPr>
            </w:pP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GNSS测量技术</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1.掌握GNSS测量基本原理；</w:t>
            </w:r>
          </w:p>
          <w:p>
            <w:pPr>
              <w:spacing w:line="276" w:lineRule="auto"/>
              <w:jc w:val="left"/>
              <w:rPr>
                <w:rFonts w:ascii="宋体" w:hAnsi="宋体"/>
                <w:szCs w:val="21"/>
              </w:rPr>
            </w:pPr>
            <w:r>
              <w:rPr>
                <w:rFonts w:hint="eastAsia" w:ascii="宋体" w:hAnsi="宋体"/>
                <w:szCs w:val="21"/>
              </w:rPr>
              <w:t xml:space="preserve">2.具有布设D、E级控制网的布设能力； </w:t>
            </w:r>
          </w:p>
          <w:p>
            <w:pPr>
              <w:spacing w:line="276" w:lineRule="auto"/>
              <w:jc w:val="left"/>
              <w:rPr>
                <w:rFonts w:ascii="宋体" w:hAnsi="宋体"/>
                <w:szCs w:val="21"/>
              </w:rPr>
            </w:pPr>
            <w:r>
              <w:rPr>
                <w:rFonts w:hint="eastAsia" w:ascii="宋体" w:hAnsi="宋体"/>
                <w:szCs w:val="21"/>
              </w:rPr>
              <w:t xml:space="preserve">3.能够应用软件进行静态控制网解算； </w:t>
            </w:r>
          </w:p>
          <w:p>
            <w:pPr>
              <w:spacing w:line="276" w:lineRule="auto"/>
              <w:jc w:val="left"/>
              <w:rPr>
                <w:rFonts w:ascii="宋体" w:hAnsi="宋体"/>
                <w:szCs w:val="21"/>
              </w:rPr>
            </w:pPr>
            <w:r>
              <w:rPr>
                <w:rFonts w:hint="eastAsia" w:ascii="宋体" w:hAnsi="宋体"/>
                <w:szCs w:val="21"/>
              </w:rPr>
              <w:t>4.具有独立使用仪器进行RTK操作的能力；</w:t>
            </w:r>
          </w:p>
          <w:p>
            <w:pPr>
              <w:spacing w:line="276" w:lineRule="auto"/>
              <w:jc w:val="left"/>
              <w:rPr>
                <w:rFonts w:ascii="宋体" w:hAnsi="宋体"/>
                <w:szCs w:val="21"/>
              </w:rPr>
            </w:pPr>
            <w:r>
              <w:rPr>
                <w:rFonts w:hint="eastAsia" w:ascii="宋体" w:hAnsi="宋体"/>
                <w:szCs w:val="21"/>
              </w:rPr>
              <w:t>5.了解RTK工作原理。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continue"/>
            <w:tcBorders>
              <w:left w:val="single" w:color="000000" w:sz="4" w:space="0"/>
              <w:right w:val="single" w:color="000000" w:sz="4" w:space="0"/>
            </w:tcBorders>
            <w:vAlign w:val="center"/>
          </w:tcPr>
          <w:p>
            <w:pPr>
              <w:spacing w:line="276" w:lineRule="auto"/>
              <w:jc w:val="left"/>
              <w:rPr>
                <w:rFonts w:ascii="宋体" w:hAnsi="宋体"/>
                <w:szCs w:val="21"/>
              </w:rPr>
            </w:pP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控制测量与平差</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88" w:lineRule="auto"/>
              <w:rPr>
                <w:rFonts w:ascii="Times New Roman" w:hAnsi="Times New Roman"/>
                <w:szCs w:val="21"/>
              </w:rPr>
            </w:pPr>
            <w:r>
              <w:rPr>
                <w:rFonts w:ascii="Times New Roman" w:hAnsi="Times New Roman"/>
                <w:szCs w:val="21"/>
              </w:rPr>
              <w:t>1. 控制网布设，选点、埋点；</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了解控制测量与平差原理</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3. 高程控制测量，包括水准测量和三角高程测量；</w:t>
            </w:r>
          </w:p>
          <w:p>
            <w:pPr>
              <w:spacing w:line="288" w:lineRule="auto"/>
              <w:rPr>
                <w:rFonts w:ascii="Times New Roman" w:hAnsi="Times New Roman"/>
                <w:szCs w:val="21"/>
              </w:rPr>
            </w:pPr>
            <w:r>
              <w:rPr>
                <w:rFonts w:ascii="Times New Roman" w:hAnsi="Times New Roman"/>
                <w:szCs w:val="21"/>
              </w:rPr>
              <w:t>4. 控制网数据处理，</w:t>
            </w:r>
            <w:r>
              <w:rPr>
                <w:rFonts w:hint="eastAsia" w:ascii="Times New Roman" w:hAnsi="Times New Roman"/>
                <w:szCs w:val="21"/>
              </w:rPr>
              <w:t>平差计算</w:t>
            </w:r>
            <w:r>
              <w:rPr>
                <w:rFonts w:ascii="Times New Roman" w:hAnsi="Times New Roman"/>
                <w:szCs w:val="21"/>
              </w:rPr>
              <w:t>；</w:t>
            </w:r>
          </w:p>
          <w:p>
            <w:pPr>
              <w:spacing w:line="276" w:lineRule="auto"/>
              <w:jc w:val="left"/>
              <w:rPr>
                <w:rFonts w:ascii="宋体" w:hAnsi="宋体"/>
                <w:szCs w:val="21"/>
              </w:rPr>
            </w:pPr>
            <w:r>
              <w:rPr>
                <w:rFonts w:ascii="Times New Roman" w:hAnsi="Times New Roman"/>
                <w:szCs w:val="21"/>
              </w:rPr>
              <w:t>5. 控制测量技术总结。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restart"/>
            <w:tcBorders>
              <w:left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不动产测量</w:t>
            </w: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highlight w:val="yellow"/>
              </w:rPr>
            </w:pPr>
            <w:r>
              <w:rPr>
                <w:rFonts w:hint="eastAsia" w:ascii="宋体" w:hAnsi="宋体"/>
                <w:szCs w:val="21"/>
              </w:rPr>
              <w:t>数字测图</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1．制图基础知识；</w:t>
            </w:r>
          </w:p>
          <w:p>
            <w:pPr>
              <w:spacing w:line="276" w:lineRule="auto"/>
              <w:jc w:val="left"/>
              <w:rPr>
                <w:rFonts w:ascii="宋体" w:hAnsi="宋体"/>
                <w:szCs w:val="21"/>
              </w:rPr>
            </w:pPr>
            <w:r>
              <w:rPr>
                <w:rFonts w:hint="eastAsia" w:ascii="宋体" w:hAnsi="宋体"/>
                <w:szCs w:val="21"/>
              </w:rPr>
              <w:t>2．基本体投影；</w:t>
            </w:r>
          </w:p>
          <w:p>
            <w:pPr>
              <w:spacing w:line="276" w:lineRule="auto"/>
              <w:jc w:val="left"/>
              <w:rPr>
                <w:rFonts w:ascii="宋体" w:hAnsi="宋体"/>
                <w:szCs w:val="21"/>
              </w:rPr>
            </w:pPr>
            <w:r>
              <w:rPr>
                <w:rFonts w:hint="eastAsia" w:ascii="宋体" w:hAnsi="宋体"/>
                <w:szCs w:val="21"/>
              </w:rPr>
              <w:t>3．复杂形体投影；</w:t>
            </w:r>
          </w:p>
          <w:p>
            <w:pPr>
              <w:spacing w:line="276" w:lineRule="auto"/>
              <w:jc w:val="left"/>
              <w:rPr>
                <w:rFonts w:ascii="宋体" w:hAnsi="宋体"/>
                <w:szCs w:val="21"/>
              </w:rPr>
            </w:pPr>
            <w:r>
              <w:rPr>
                <w:rFonts w:hint="eastAsia" w:ascii="宋体" w:hAnsi="宋体"/>
                <w:szCs w:val="21"/>
              </w:rPr>
              <w:t>4．综合图形表达；</w:t>
            </w:r>
          </w:p>
          <w:p>
            <w:pPr>
              <w:spacing w:line="276" w:lineRule="auto"/>
              <w:jc w:val="left"/>
              <w:rPr>
                <w:rFonts w:ascii="宋体" w:hAnsi="宋体"/>
                <w:szCs w:val="21"/>
                <w:highlight w:val="yellow"/>
              </w:rPr>
            </w:pPr>
            <w:r>
              <w:rPr>
                <w:rFonts w:hint="eastAsia" w:ascii="宋体" w:hAnsi="宋体"/>
                <w:szCs w:val="21"/>
              </w:rPr>
              <w:t>5．熟练应用数字成图软件进行成果输出。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continue"/>
            <w:tcBorders>
              <w:left w:val="single" w:color="000000" w:sz="4" w:space="0"/>
              <w:right w:val="single" w:color="000000" w:sz="4" w:space="0"/>
            </w:tcBorders>
            <w:vAlign w:val="center"/>
          </w:tcPr>
          <w:p>
            <w:pPr>
              <w:spacing w:line="276" w:lineRule="auto"/>
              <w:jc w:val="left"/>
              <w:rPr>
                <w:rFonts w:ascii="宋体" w:hAnsi="宋体"/>
                <w:szCs w:val="21"/>
              </w:rPr>
            </w:pP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不动产测量</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1．掌握测量定位的基本概念以及测量定位技术在经济建设的意义；</w:t>
            </w:r>
          </w:p>
          <w:p>
            <w:pPr>
              <w:spacing w:line="276" w:lineRule="auto"/>
              <w:jc w:val="left"/>
              <w:rPr>
                <w:rFonts w:ascii="宋体" w:hAnsi="宋体"/>
                <w:szCs w:val="21"/>
              </w:rPr>
            </w:pPr>
            <w:r>
              <w:rPr>
                <w:rFonts w:hint="eastAsia" w:ascii="宋体" w:hAnsi="宋体"/>
                <w:szCs w:val="21"/>
              </w:rPr>
              <w:t>2．掌握经纬仪、全站仪角度测量、距离测量基本技术原理和方法；</w:t>
            </w:r>
          </w:p>
          <w:p>
            <w:pPr>
              <w:spacing w:line="276" w:lineRule="auto"/>
              <w:jc w:val="left"/>
              <w:rPr>
                <w:rFonts w:ascii="宋体" w:hAnsi="宋体"/>
                <w:szCs w:val="21"/>
              </w:rPr>
            </w:pPr>
            <w:r>
              <w:rPr>
                <w:rFonts w:hint="eastAsia" w:ascii="宋体" w:hAnsi="宋体"/>
                <w:szCs w:val="21"/>
              </w:rPr>
              <w:t>3．掌握水准仪高程测量基本技术原理和方法；</w:t>
            </w:r>
          </w:p>
          <w:p>
            <w:pPr>
              <w:spacing w:line="276" w:lineRule="auto"/>
              <w:jc w:val="left"/>
              <w:rPr>
                <w:rFonts w:ascii="宋体" w:hAnsi="宋体"/>
                <w:szCs w:val="21"/>
              </w:rPr>
            </w:pPr>
            <w:r>
              <w:rPr>
                <w:rFonts w:hint="eastAsia" w:ascii="宋体" w:hAnsi="宋体"/>
                <w:szCs w:val="21"/>
              </w:rPr>
              <w:t>4．掌握图根控制测量、测绘地形图、地形图应用和测设的基本知识；</w:t>
            </w:r>
          </w:p>
          <w:p>
            <w:pPr>
              <w:spacing w:line="276" w:lineRule="auto"/>
              <w:jc w:val="left"/>
              <w:rPr>
                <w:rFonts w:ascii="宋体" w:hAnsi="宋体"/>
                <w:szCs w:val="21"/>
              </w:rPr>
            </w:pPr>
            <w:r>
              <w:rPr>
                <w:rFonts w:hint="eastAsia" w:ascii="宋体" w:hAnsi="宋体"/>
                <w:szCs w:val="21"/>
              </w:rPr>
              <w:t>5．掌握测量误差理论基本知识和图根控制测量的基本方法；</w:t>
            </w:r>
          </w:p>
          <w:p>
            <w:pPr>
              <w:spacing w:line="276" w:lineRule="auto"/>
              <w:jc w:val="left"/>
              <w:rPr>
                <w:rFonts w:ascii="宋体" w:hAnsi="宋体"/>
                <w:szCs w:val="21"/>
              </w:rPr>
            </w:pPr>
            <w:r>
              <w:rPr>
                <w:rFonts w:hint="eastAsia" w:ascii="宋体" w:hAnsi="宋体"/>
                <w:szCs w:val="21"/>
              </w:rPr>
              <w:t>6．比较熟练掌握测量仪器基本操作技能；</w:t>
            </w:r>
          </w:p>
          <w:p>
            <w:pPr>
              <w:spacing w:line="276" w:lineRule="auto"/>
              <w:jc w:val="left"/>
              <w:rPr>
                <w:rFonts w:ascii="宋体" w:hAnsi="宋体"/>
                <w:szCs w:val="21"/>
              </w:rPr>
            </w:pPr>
            <w:r>
              <w:rPr>
                <w:rFonts w:hint="eastAsia" w:ascii="宋体" w:hAnsi="宋体"/>
                <w:szCs w:val="21"/>
              </w:rPr>
              <w:t>7．具有图根控制测量、地形测绘和测设的初步能力；</w:t>
            </w:r>
          </w:p>
          <w:p>
            <w:pPr>
              <w:spacing w:line="276" w:lineRule="auto"/>
              <w:jc w:val="left"/>
              <w:rPr>
                <w:rFonts w:ascii="宋体" w:hAnsi="宋体"/>
                <w:szCs w:val="21"/>
              </w:rPr>
            </w:pPr>
            <w:r>
              <w:rPr>
                <w:rFonts w:hint="eastAsia" w:ascii="宋体" w:hAnsi="宋体"/>
                <w:szCs w:val="21"/>
              </w:rPr>
              <w:t>8．具有解决基本测量技术问题的实际能力，为学习控制测量、工程测量、测量平差等专业知识和职业技能打下基础；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continue"/>
            <w:tcBorders>
              <w:left w:val="single" w:color="000000" w:sz="4" w:space="0"/>
              <w:right w:val="single" w:color="000000" w:sz="4" w:space="0"/>
            </w:tcBorders>
            <w:vAlign w:val="center"/>
          </w:tcPr>
          <w:p>
            <w:pPr>
              <w:spacing w:line="276" w:lineRule="auto"/>
              <w:jc w:val="left"/>
              <w:rPr>
                <w:rFonts w:ascii="宋体" w:hAnsi="宋体"/>
                <w:szCs w:val="21"/>
              </w:rPr>
            </w:pP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房产测量与制图</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1、熟悉各种建筑制图规范、地形图制图规范、工程图制图规范（测量工程），熟悉掌握建筑制图、地形制图的基本理论；</w:t>
            </w:r>
          </w:p>
          <w:p>
            <w:pPr>
              <w:spacing w:line="276" w:lineRule="auto"/>
              <w:jc w:val="left"/>
              <w:rPr>
                <w:rFonts w:ascii="宋体" w:hAnsi="宋体"/>
                <w:szCs w:val="21"/>
              </w:rPr>
            </w:pPr>
            <w:r>
              <w:rPr>
                <w:rFonts w:hint="eastAsia" w:ascii="宋体" w:hAnsi="宋体"/>
                <w:szCs w:val="21"/>
              </w:rPr>
              <w:t>2.熟悉掌握建筑制图各种二维图形的绘制方法，熟悉对二维图形的编辑；</w:t>
            </w:r>
          </w:p>
          <w:p>
            <w:pPr>
              <w:spacing w:line="276" w:lineRule="auto"/>
              <w:jc w:val="left"/>
              <w:rPr>
                <w:rFonts w:ascii="宋体" w:hAnsi="宋体"/>
                <w:szCs w:val="21"/>
              </w:rPr>
            </w:pPr>
            <w:r>
              <w:rPr>
                <w:rFonts w:hint="eastAsia" w:ascii="宋体" w:hAnsi="宋体"/>
                <w:szCs w:val="21"/>
              </w:rPr>
              <w:t>3.熟悉计算机辅助绘图员（建筑）中级考证的相关内容，能够熟练绘制二维建筑平面图、建筑立面图、建筑剖面图；</w:t>
            </w:r>
          </w:p>
          <w:p>
            <w:pPr>
              <w:spacing w:line="276" w:lineRule="auto"/>
              <w:jc w:val="left"/>
              <w:rPr>
                <w:rFonts w:ascii="宋体" w:hAnsi="宋体"/>
                <w:szCs w:val="21"/>
              </w:rPr>
            </w:pPr>
            <w:r>
              <w:rPr>
                <w:rFonts w:hint="eastAsia" w:ascii="宋体" w:hAnsi="宋体"/>
                <w:szCs w:val="21"/>
              </w:rPr>
              <w:t>4.熟练掌握三维建筑物模型的创建，能够熟练对三维图形进行编辑；</w:t>
            </w:r>
          </w:p>
          <w:p>
            <w:pPr>
              <w:spacing w:line="276" w:lineRule="auto"/>
              <w:jc w:val="left"/>
              <w:rPr>
                <w:rFonts w:ascii="宋体" w:hAnsi="宋体"/>
                <w:szCs w:val="21"/>
              </w:rPr>
            </w:pPr>
            <w:r>
              <w:rPr>
                <w:rFonts w:hint="eastAsia" w:ascii="宋体" w:hAnsi="宋体"/>
                <w:szCs w:val="21"/>
              </w:rPr>
              <w:t>5.熟悉计算机辅助绘图员（建筑）高级考证的相关内容，能够熟练辅助设计建筑剖面图，熟练绘制三维图形；</w:t>
            </w:r>
          </w:p>
          <w:p>
            <w:pPr>
              <w:spacing w:line="276" w:lineRule="auto"/>
              <w:jc w:val="left"/>
              <w:rPr>
                <w:rFonts w:ascii="宋体" w:hAnsi="宋体"/>
                <w:szCs w:val="21"/>
              </w:rPr>
            </w:pPr>
            <w:r>
              <w:rPr>
                <w:rFonts w:hint="eastAsia" w:ascii="宋体" w:hAnsi="宋体"/>
                <w:szCs w:val="21"/>
              </w:rPr>
              <w:t>6.熟悉地形制图及工程制图的相关知识，能够熟练绘制地形图及相关工程制图。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restart"/>
            <w:tcBorders>
              <w:left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工程测量</w:t>
            </w: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工程测量</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szCs w:val="21"/>
              </w:rPr>
            </w:pPr>
            <w:r>
              <w:rPr>
                <w:rFonts w:hint="eastAsia" w:ascii="Times New Roman" w:hAnsi="Times New Roman"/>
                <w:szCs w:val="21"/>
              </w:rPr>
              <w:t>1. 掌握工程测量的基本知识与基本方法；</w:t>
            </w:r>
          </w:p>
          <w:p>
            <w:pPr>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 施工控制测量；</w:t>
            </w:r>
          </w:p>
          <w:p>
            <w:pPr>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 制订施工测量方法、方案；</w:t>
            </w:r>
          </w:p>
          <w:p>
            <w:pPr>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 工程放样实施；</w:t>
            </w:r>
          </w:p>
          <w:p>
            <w:pPr>
              <w:spacing w:line="276" w:lineRule="auto"/>
              <w:jc w:val="left"/>
              <w:rPr>
                <w:rFonts w:ascii="宋体" w:hAnsi="宋体"/>
                <w:szCs w:val="21"/>
              </w:rPr>
            </w:pPr>
            <w:r>
              <w:rPr>
                <w:rFonts w:hint="eastAsia" w:ascii="Times New Roman" w:hAnsi="Times New Roman"/>
                <w:szCs w:val="21"/>
              </w:rPr>
              <w:t>5</w:t>
            </w:r>
            <w:r>
              <w:rPr>
                <w:rFonts w:ascii="Times New Roman" w:hAnsi="Times New Roman"/>
                <w:szCs w:val="21"/>
              </w:rPr>
              <w:t xml:space="preserve"> 技术总结。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continue"/>
            <w:tcBorders>
              <w:left w:val="single" w:color="000000" w:sz="4" w:space="0"/>
              <w:right w:val="single" w:color="000000" w:sz="4" w:space="0"/>
            </w:tcBorders>
            <w:vAlign w:val="center"/>
          </w:tcPr>
          <w:p>
            <w:pPr>
              <w:spacing w:line="276" w:lineRule="auto"/>
              <w:jc w:val="left"/>
              <w:rPr>
                <w:rFonts w:ascii="宋体" w:hAnsi="宋体"/>
                <w:szCs w:val="21"/>
              </w:rPr>
            </w:pP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hint="eastAsia" w:ascii="宋体" w:hAnsi="宋体" w:eastAsiaTheme="minorEastAsia"/>
                <w:szCs w:val="21"/>
                <w:lang w:val="en-US" w:eastAsia="zh-CN"/>
              </w:rPr>
            </w:pPr>
            <w:r>
              <w:rPr>
                <w:rFonts w:hint="eastAsia" w:ascii="宋体" w:hAnsi="宋体"/>
                <w:szCs w:val="21"/>
              </w:rPr>
              <w:t>摄影测量与遥感</w:t>
            </w:r>
            <w:r>
              <w:rPr>
                <w:rFonts w:hint="eastAsia" w:ascii="宋体" w:hAnsi="宋体"/>
                <w:szCs w:val="21"/>
                <w:lang w:eastAsia="zh-CN"/>
              </w:rPr>
              <w:t>技术</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1.掌握摄影测量的基本理论.基本知识和基本方法；</w:t>
            </w:r>
          </w:p>
          <w:p>
            <w:pPr>
              <w:spacing w:line="276" w:lineRule="auto"/>
              <w:jc w:val="left"/>
              <w:rPr>
                <w:rFonts w:ascii="宋体" w:hAnsi="宋体"/>
                <w:szCs w:val="21"/>
              </w:rPr>
            </w:pPr>
            <w:r>
              <w:rPr>
                <w:rFonts w:hint="eastAsia" w:ascii="宋体" w:hAnsi="宋体"/>
                <w:szCs w:val="21"/>
              </w:rPr>
              <w:t xml:space="preserve">2.了解摄影测量科学的技术体系和发展动态； </w:t>
            </w:r>
          </w:p>
          <w:p>
            <w:pPr>
              <w:spacing w:line="276" w:lineRule="auto"/>
              <w:jc w:val="left"/>
              <w:rPr>
                <w:rFonts w:ascii="宋体" w:hAnsi="宋体"/>
                <w:szCs w:val="21"/>
              </w:rPr>
            </w:pPr>
            <w:r>
              <w:rPr>
                <w:rFonts w:hint="eastAsia" w:ascii="宋体" w:hAnsi="宋体"/>
                <w:szCs w:val="21"/>
              </w:rPr>
              <w:t>3.熟练操作至少一种航测无人机操作方法；</w:t>
            </w:r>
          </w:p>
          <w:p>
            <w:pPr>
              <w:spacing w:line="276" w:lineRule="auto"/>
              <w:jc w:val="left"/>
              <w:rPr>
                <w:rFonts w:ascii="宋体" w:hAnsi="宋体"/>
                <w:szCs w:val="21"/>
              </w:rPr>
            </w:pPr>
            <w:r>
              <w:rPr>
                <w:rFonts w:hint="eastAsia" w:ascii="宋体" w:hAnsi="宋体"/>
                <w:szCs w:val="21"/>
              </w:rPr>
              <w:t>4.熟练使用一种航测结果处理软件；</w:t>
            </w:r>
          </w:p>
          <w:p>
            <w:pPr>
              <w:spacing w:line="276" w:lineRule="auto"/>
              <w:jc w:val="left"/>
              <w:rPr>
                <w:rFonts w:ascii="宋体" w:hAnsi="宋体"/>
                <w:szCs w:val="21"/>
              </w:rPr>
            </w:pPr>
            <w:r>
              <w:rPr>
                <w:rFonts w:hint="eastAsia" w:ascii="宋体" w:hAnsi="宋体"/>
                <w:szCs w:val="21"/>
              </w:rPr>
              <w:t>5.了解无人机测绘基本法律法规；</w:t>
            </w:r>
          </w:p>
          <w:p>
            <w:pPr>
              <w:spacing w:line="276" w:lineRule="auto"/>
              <w:jc w:val="left"/>
              <w:rPr>
                <w:rFonts w:ascii="宋体" w:hAnsi="宋体"/>
                <w:szCs w:val="21"/>
              </w:rPr>
            </w:pPr>
            <w:r>
              <w:rPr>
                <w:rFonts w:hint="eastAsia" w:ascii="宋体" w:hAnsi="宋体"/>
                <w:szCs w:val="21"/>
              </w:rPr>
              <w:t>6.初步具备无人机航测工程实践能力。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trPr>
        <w:tc>
          <w:tcPr>
            <w:tcW w:w="959" w:type="dxa"/>
            <w:vMerge w:val="continue"/>
            <w:tcBorders>
              <w:left w:val="single" w:color="000000" w:sz="4" w:space="0"/>
              <w:right w:val="single" w:color="000000" w:sz="4" w:space="0"/>
            </w:tcBorders>
            <w:vAlign w:val="center"/>
          </w:tcPr>
          <w:p>
            <w:pPr>
              <w:spacing w:line="276" w:lineRule="auto"/>
              <w:jc w:val="left"/>
              <w:rPr>
                <w:rFonts w:ascii="宋体" w:hAnsi="宋体"/>
                <w:szCs w:val="21"/>
              </w:rPr>
            </w:pPr>
          </w:p>
        </w:tc>
        <w:tc>
          <w:tcPr>
            <w:tcW w:w="918" w:type="dxa"/>
            <w:tcBorders>
              <w:top w:val="single" w:color="000000" w:sz="4" w:space="0"/>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三维激光扫描操作与数据处理</w:t>
            </w:r>
          </w:p>
        </w:tc>
        <w:tc>
          <w:tcPr>
            <w:tcW w:w="659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szCs w:val="21"/>
              </w:rPr>
            </w:pPr>
            <w:r>
              <w:rPr>
                <w:rFonts w:hint="eastAsia" w:ascii="宋体" w:hAnsi="宋体"/>
                <w:szCs w:val="21"/>
              </w:rPr>
              <w:t>1.掌握三维激光扫描的基本理论.基本知识和基本方法；</w:t>
            </w:r>
          </w:p>
          <w:p>
            <w:pPr>
              <w:spacing w:line="276" w:lineRule="auto"/>
              <w:jc w:val="left"/>
              <w:rPr>
                <w:rFonts w:ascii="宋体" w:hAnsi="宋体"/>
                <w:szCs w:val="21"/>
              </w:rPr>
            </w:pPr>
            <w:r>
              <w:rPr>
                <w:rFonts w:hint="eastAsia" w:ascii="宋体" w:hAnsi="宋体"/>
                <w:szCs w:val="21"/>
              </w:rPr>
              <w:t xml:space="preserve">2.了解三维激光扫描的基本硬件和发展动态； </w:t>
            </w:r>
          </w:p>
          <w:p>
            <w:pPr>
              <w:spacing w:line="276" w:lineRule="auto"/>
              <w:jc w:val="left"/>
              <w:rPr>
                <w:rFonts w:ascii="宋体" w:hAnsi="宋体"/>
                <w:szCs w:val="21"/>
              </w:rPr>
            </w:pPr>
            <w:r>
              <w:rPr>
                <w:rFonts w:hint="eastAsia" w:ascii="宋体" w:hAnsi="宋体"/>
                <w:szCs w:val="21"/>
              </w:rPr>
              <w:t>3.熟练操作至少一种三位激光扫描点云重构方法；</w:t>
            </w:r>
          </w:p>
          <w:p>
            <w:pPr>
              <w:spacing w:line="276" w:lineRule="auto"/>
              <w:jc w:val="left"/>
              <w:rPr>
                <w:rFonts w:ascii="宋体" w:hAnsi="宋体"/>
                <w:szCs w:val="21"/>
              </w:rPr>
            </w:pPr>
            <w:r>
              <w:rPr>
                <w:rFonts w:hint="eastAsia" w:ascii="宋体" w:hAnsi="宋体"/>
                <w:szCs w:val="21"/>
              </w:rPr>
              <w:t>4.掌握点云数据处理软件常用操作；</w:t>
            </w:r>
          </w:p>
          <w:p>
            <w:pPr>
              <w:spacing w:line="276" w:lineRule="auto"/>
              <w:jc w:val="left"/>
              <w:rPr>
                <w:rFonts w:ascii="宋体" w:hAnsi="宋体"/>
                <w:szCs w:val="21"/>
              </w:rPr>
            </w:pPr>
            <w:r>
              <w:rPr>
                <w:rFonts w:hint="eastAsia" w:ascii="宋体" w:hAnsi="宋体"/>
                <w:szCs w:val="21"/>
              </w:rPr>
              <w:t>5.初步具备场景三维重构工程实践能力。</w:t>
            </w:r>
          </w:p>
        </w:tc>
      </w:tr>
      <w:bookmarkEnd w:id="13"/>
      <w:bookmarkEnd w:id="14"/>
    </w:tbl>
    <w:p>
      <w:pPr>
        <w:ind w:firstLine="420"/>
        <w:rPr>
          <w:rFonts w:asciiTheme="majorEastAsia" w:hAnsiTheme="majorEastAsia" w:eastAsiaTheme="majorEastAsia"/>
        </w:rPr>
      </w:pPr>
    </w:p>
    <w:p>
      <w:pPr>
        <w:pStyle w:val="3"/>
        <w:rPr>
          <w:sz w:val="24"/>
          <w:szCs w:val="24"/>
        </w:rPr>
      </w:pPr>
      <w:bookmarkStart w:id="15" w:name="_Toc7340063"/>
      <w:r>
        <w:rPr>
          <w:rFonts w:hint="eastAsia"/>
          <w:sz w:val="24"/>
          <w:szCs w:val="24"/>
        </w:rPr>
        <w:t>2.【实践教学课程体系设计】</w:t>
      </w:r>
      <w:bookmarkEnd w:id="15"/>
      <w:r>
        <w:rPr>
          <w:sz w:val="24"/>
          <w:szCs w:val="24"/>
        </w:rPr>
        <w:t xml:space="preserve"> </w:t>
      </w:r>
    </w:p>
    <w:p>
      <w:pPr>
        <w:spacing w:line="480" w:lineRule="exact"/>
        <w:ind w:firstLine="420" w:firstLineChars="200"/>
        <w:rPr>
          <w:rFonts w:ascii="宋体" w:hAnsi="宋体"/>
          <w:color w:val="000000"/>
          <w:szCs w:val="21"/>
        </w:rPr>
      </w:pPr>
      <w:r>
        <w:rPr>
          <w:rFonts w:ascii="宋体" w:hAnsi="宋体"/>
          <w:color w:val="000000"/>
          <w:szCs w:val="21"/>
        </w:rPr>
        <w:t>通过课程实验、上机等实践环节加深</w:t>
      </w:r>
      <w:r>
        <w:rPr>
          <w:rFonts w:hint="eastAsia" w:ascii="宋体" w:hAnsi="宋体"/>
          <w:color w:val="000000"/>
          <w:szCs w:val="21"/>
        </w:rPr>
        <w:t>对</w:t>
      </w:r>
      <w:r>
        <w:rPr>
          <w:rFonts w:ascii="宋体" w:hAnsi="宋体"/>
          <w:color w:val="000000"/>
          <w:szCs w:val="21"/>
        </w:rPr>
        <w:t>理论</w:t>
      </w:r>
      <w:r>
        <w:rPr>
          <w:rFonts w:hint="eastAsia" w:ascii="宋体" w:hAnsi="宋体"/>
          <w:color w:val="000000"/>
          <w:szCs w:val="21"/>
        </w:rPr>
        <w:t>课基本概念的理解</w:t>
      </w:r>
      <w:r>
        <w:rPr>
          <w:rFonts w:ascii="宋体" w:hAnsi="宋体"/>
          <w:color w:val="000000"/>
          <w:szCs w:val="21"/>
        </w:rPr>
        <w:t>和提高</w:t>
      </w:r>
      <w:r>
        <w:rPr>
          <w:rFonts w:hint="eastAsia" w:ascii="宋体" w:hAnsi="宋体"/>
          <w:color w:val="000000"/>
          <w:szCs w:val="21"/>
        </w:rPr>
        <w:t>基础</w:t>
      </w:r>
      <w:r>
        <w:rPr>
          <w:rFonts w:ascii="宋体" w:hAnsi="宋体"/>
          <w:color w:val="000000"/>
          <w:szCs w:val="21"/>
        </w:rPr>
        <w:t>实践技能；通过课程设计、实习</w:t>
      </w:r>
      <w:r>
        <w:rPr>
          <w:rFonts w:hint="eastAsia" w:ascii="宋体" w:hAnsi="宋体"/>
          <w:color w:val="000000"/>
          <w:szCs w:val="21"/>
        </w:rPr>
        <w:t>、</w:t>
      </w:r>
      <w:r>
        <w:rPr>
          <w:rFonts w:ascii="宋体" w:hAnsi="宋体"/>
          <w:color w:val="000000"/>
          <w:szCs w:val="21"/>
        </w:rPr>
        <w:t>综合实训和</w:t>
      </w:r>
      <w:r>
        <w:rPr>
          <w:rFonts w:hint="eastAsia" w:ascii="宋体" w:hAnsi="宋体" w:cs="仿宋"/>
          <w:color w:val="000000"/>
          <w:kern w:val="0"/>
          <w:szCs w:val="21"/>
        </w:rPr>
        <w:t>毕业综合实训和生产(顶岗)实习</w:t>
      </w:r>
      <w:r>
        <w:rPr>
          <w:rFonts w:ascii="宋体" w:hAnsi="宋体"/>
          <w:color w:val="000000"/>
          <w:szCs w:val="21"/>
        </w:rPr>
        <w:t>等环节实现对学生综合</w:t>
      </w:r>
      <w:r>
        <w:rPr>
          <w:rFonts w:hint="eastAsia" w:ascii="宋体" w:hAnsi="宋体"/>
          <w:color w:val="000000"/>
          <w:szCs w:val="21"/>
        </w:rPr>
        <w:t>工程</w:t>
      </w:r>
      <w:r>
        <w:rPr>
          <w:rFonts w:ascii="宋体" w:hAnsi="宋体"/>
          <w:color w:val="000000"/>
          <w:szCs w:val="21"/>
        </w:rPr>
        <w:t>能力的培养；以</w:t>
      </w:r>
      <w:r>
        <w:rPr>
          <w:rFonts w:hint="eastAsia" w:ascii="宋体" w:hAnsi="宋体"/>
          <w:color w:val="000000"/>
          <w:szCs w:val="21"/>
        </w:rPr>
        <w:t>工程测量</w:t>
      </w:r>
      <w:r>
        <w:rPr>
          <w:rFonts w:ascii="宋体" w:hAnsi="宋体"/>
          <w:color w:val="000000"/>
          <w:szCs w:val="21"/>
        </w:rPr>
        <w:t>竞赛、</w:t>
      </w:r>
      <w:r>
        <w:rPr>
          <w:rFonts w:hint="eastAsia" w:ascii="宋体" w:hAnsi="宋体"/>
          <w:color w:val="000000"/>
          <w:szCs w:val="21"/>
        </w:rPr>
        <w:t>顶岗实习、大学生科技创新、职业资质证书的获得等</w:t>
      </w:r>
      <w:r>
        <w:rPr>
          <w:rFonts w:ascii="宋体" w:hAnsi="宋体"/>
          <w:color w:val="000000"/>
          <w:szCs w:val="21"/>
        </w:rPr>
        <w:t>课外实践环节</w:t>
      </w:r>
      <w:r>
        <w:rPr>
          <w:rFonts w:hint="eastAsia" w:ascii="宋体" w:hAnsi="宋体"/>
          <w:color w:val="000000"/>
          <w:szCs w:val="21"/>
        </w:rPr>
        <w:t>培养</w:t>
      </w:r>
      <w:r>
        <w:rPr>
          <w:rFonts w:ascii="宋体" w:hAnsi="宋体"/>
          <w:color w:val="000000"/>
          <w:szCs w:val="21"/>
        </w:rPr>
        <w:t>学生的</w:t>
      </w:r>
      <w:r>
        <w:rPr>
          <w:rFonts w:hint="eastAsia" w:ascii="宋体" w:hAnsi="宋体"/>
          <w:color w:val="000000"/>
          <w:szCs w:val="21"/>
        </w:rPr>
        <w:t>创新</w:t>
      </w:r>
      <w:r>
        <w:rPr>
          <w:rFonts w:ascii="宋体" w:hAnsi="宋体"/>
          <w:color w:val="000000"/>
          <w:szCs w:val="21"/>
        </w:rPr>
        <w:t>实践</w:t>
      </w:r>
      <w:r>
        <w:rPr>
          <w:rFonts w:hint="eastAsia" w:ascii="宋体" w:hAnsi="宋体"/>
          <w:color w:val="000000"/>
          <w:szCs w:val="21"/>
        </w:rPr>
        <w:t>综合</w:t>
      </w:r>
      <w:r>
        <w:rPr>
          <w:rFonts w:ascii="宋体" w:hAnsi="宋体"/>
          <w:color w:val="000000"/>
          <w:szCs w:val="21"/>
        </w:rPr>
        <w:t>能力。</w:t>
      </w:r>
      <w:r>
        <w:rPr>
          <w:rFonts w:hint="eastAsia" w:ascii="宋体" w:hAnsi="宋体"/>
          <w:color w:val="000000"/>
          <w:szCs w:val="21"/>
        </w:rPr>
        <w:t>同时通过聘请企业工程师作为兼职导师，通过专题讲座、企业实习等方式，旨在培养学生在生产实际进行现场分析、解决本专业实际工程问题的能力，工程意识、成本意识、安全意识、质量意识和低碳、环保意识、市场意识和价值效益意识。</w:t>
      </w:r>
    </w:p>
    <w:p>
      <w:pPr>
        <w:spacing w:line="480" w:lineRule="exact"/>
        <w:ind w:firstLine="420" w:firstLineChars="200"/>
        <w:rPr>
          <w:rFonts w:ascii="宋体" w:hAnsi="宋体"/>
          <w:color w:val="000000"/>
          <w:szCs w:val="21"/>
        </w:rPr>
      </w:pPr>
      <w:r>
        <w:rPr>
          <w:rFonts w:hint="eastAsia" w:ascii="宋体" w:hAnsi="宋体"/>
          <w:color w:val="000000"/>
          <w:szCs w:val="21"/>
        </w:rPr>
        <w:t>实践环节包括独立设课实验、课程设计、实习教学、项目训练、</w:t>
      </w:r>
      <w:r>
        <w:rPr>
          <w:rFonts w:hint="eastAsia" w:ascii="宋体" w:hAnsi="宋体" w:cs="仿宋"/>
          <w:color w:val="000000"/>
          <w:kern w:val="0"/>
          <w:szCs w:val="21"/>
        </w:rPr>
        <w:t>毕业综合实训和生产(顶岗)实习</w:t>
      </w:r>
      <w:r>
        <w:rPr>
          <w:rFonts w:hint="eastAsia" w:ascii="宋体" w:hAnsi="宋体"/>
          <w:color w:val="000000"/>
          <w:szCs w:val="21"/>
        </w:rPr>
        <w:t>、创新创业知识与能力提升各环节，实践教学体系按照课程模块设计，体系中除课程实验、课程设计外，注重了综合性工程</w:t>
      </w:r>
      <w:r>
        <w:rPr>
          <w:rFonts w:ascii="宋体" w:hAnsi="宋体"/>
          <w:color w:val="000000"/>
          <w:szCs w:val="21"/>
        </w:rPr>
        <w:t>实践环节</w:t>
      </w:r>
      <w:r>
        <w:rPr>
          <w:rFonts w:hint="eastAsia" w:ascii="宋体" w:hAnsi="宋体"/>
          <w:color w:val="000000"/>
          <w:szCs w:val="21"/>
        </w:rPr>
        <w:t>设计，体现了</w:t>
      </w:r>
      <w:r>
        <w:rPr>
          <w:rFonts w:ascii="宋体" w:hAnsi="宋体"/>
          <w:color w:val="000000"/>
          <w:szCs w:val="21"/>
        </w:rPr>
        <w:t>从</w:t>
      </w:r>
      <w:r>
        <w:rPr>
          <w:rFonts w:hint="eastAsia" w:ascii="宋体" w:hAnsi="宋体"/>
          <w:color w:val="000000"/>
          <w:szCs w:val="21"/>
        </w:rPr>
        <w:t>基础实践层次</w:t>
      </w:r>
      <w:r>
        <w:rPr>
          <w:rFonts w:ascii="宋体" w:hAnsi="宋体"/>
          <w:color w:val="000000"/>
          <w:szCs w:val="21"/>
        </w:rPr>
        <w:t>、</w:t>
      </w:r>
      <w:r>
        <w:rPr>
          <w:rFonts w:hint="eastAsia" w:ascii="宋体" w:hAnsi="宋体"/>
          <w:color w:val="000000"/>
          <w:szCs w:val="21"/>
        </w:rPr>
        <w:t>综合实践层次、工程认知层次</w:t>
      </w:r>
      <w:r>
        <w:rPr>
          <w:rFonts w:ascii="宋体" w:hAnsi="宋体"/>
          <w:color w:val="000000"/>
          <w:szCs w:val="21"/>
        </w:rPr>
        <w:t>到</w:t>
      </w:r>
      <w:r>
        <w:rPr>
          <w:rFonts w:hint="eastAsia" w:ascii="宋体" w:hAnsi="宋体"/>
          <w:color w:val="000000"/>
          <w:szCs w:val="21"/>
        </w:rPr>
        <w:t>创新实践层次</w:t>
      </w:r>
      <w:r>
        <w:rPr>
          <w:rFonts w:ascii="宋体" w:hAnsi="宋体"/>
          <w:color w:val="000000"/>
          <w:szCs w:val="21"/>
        </w:rPr>
        <w:t>逐层深入的实践教育特色</w:t>
      </w:r>
      <w:r>
        <w:rPr>
          <w:rFonts w:hint="eastAsia" w:ascii="宋体" w:hAnsi="宋体"/>
          <w:color w:val="000000"/>
          <w:szCs w:val="21"/>
        </w:rPr>
        <w:t>。</w:t>
      </w:r>
    </w:p>
    <w:p>
      <w:pPr>
        <w:spacing w:line="400" w:lineRule="exact"/>
        <w:rPr>
          <w:rFonts w:ascii="宋体" w:hAnsi="宋体" w:cs="宋体"/>
          <w:sz w:val="24"/>
          <w:szCs w:val="24"/>
        </w:rPr>
      </w:pPr>
      <w:r>
        <w:rPr>
          <w:rFonts w:ascii="宋体" w:hAnsi="宋体" w:cs="宋体"/>
          <w:sz w:val="24"/>
          <w:szCs w:val="24"/>
        </w:rPr>
        <w:drawing>
          <wp:anchor distT="0" distB="0" distL="114300" distR="114300" simplePos="0" relativeHeight="251683840" behindDoc="0" locked="0" layoutInCell="1" allowOverlap="1">
            <wp:simplePos x="0" y="0"/>
            <wp:positionH relativeFrom="margin">
              <wp:posOffset>51435</wp:posOffset>
            </wp:positionH>
            <wp:positionV relativeFrom="margin">
              <wp:posOffset>786130</wp:posOffset>
            </wp:positionV>
            <wp:extent cx="5238750" cy="3790950"/>
            <wp:effectExtent l="0" t="0" r="0" b="0"/>
            <wp:wrapSquare wrapText="bothSides"/>
            <wp:docPr id="20" name="图片 2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a:xfrm>
                      <a:off x="0" y="0"/>
                      <a:ext cx="5238750" cy="3790950"/>
                    </a:xfrm>
                    <a:prstGeom prst="rect">
                      <a:avLst/>
                    </a:prstGeom>
                    <a:noFill/>
                    <a:ln>
                      <a:noFill/>
                    </a:ln>
                  </pic:spPr>
                </pic:pic>
              </a:graphicData>
            </a:graphic>
          </wp:anchor>
        </w:drawing>
      </w:r>
    </w:p>
    <w:p>
      <w:pPr>
        <w:pStyle w:val="2"/>
      </w:pPr>
      <w:bookmarkStart w:id="16" w:name="_Toc7340064"/>
      <w:r>
        <w:rPr>
          <w:rFonts w:hint="eastAsia"/>
        </w:rPr>
        <w:t>四、人才培养模式与课程体系设计</w:t>
      </w:r>
      <w:bookmarkEnd w:id="16"/>
    </w:p>
    <w:p>
      <w:pPr>
        <w:pStyle w:val="3"/>
        <w:rPr>
          <w:sz w:val="24"/>
          <w:szCs w:val="24"/>
        </w:rPr>
      </w:pPr>
      <w:bookmarkStart w:id="17" w:name="_Toc7340065"/>
      <w:r>
        <w:rPr>
          <w:rFonts w:hint="eastAsia"/>
          <w:sz w:val="24"/>
          <w:szCs w:val="24"/>
        </w:rPr>
        <w:t>1.【人才培养模式】</w:t>
      </w:r>
      <w:bookmarkEnd w:id="17"/>
      <w:r>
        <w:rPr>
          <w:rFonts w:hint="eastAsia"/>
          <w:sz w:val="24"/>
          <w:szCs w:val="24"/>
        </w:rPr>
        <w:t xml:space="preserve"> </w:t>
      </w:r>
    </w:p>
    <w:p>
      <w:pPr>
        <w:adjustRightInd w:val="0"/>
        <w:snapToGrid w:val="0"/>
        <w:spacing w:line="480" w:lineRule="exact"/>
        <w:ind w:firstLine="420" w:firstLineChars="200"/>
        <w:rPr>
          <w:rFonts w:ascii="宋体" w:hAnsi="宋体"/>
          <w:szCs w:val="21"/>
        </w:rPr>
      </w:pPr>
      <w:bookmarkStart w:id="18" w:name="_Toc7340066"/>
      <w:r>
        <w:rPr>
          <w:rFonts w:hint="eastAsia" w:ascii="宋体" w:hAnsi="宋体"/>
          <w:color w:val="000000"/>
          <w:szCs w:val="21"/>
        </w:rPr>
        <w:t>（1）实施</w:t>
      </w:r>
      <w:r>
        <w:rPr>
          <w:rFonts w:hint="eastAsia" w:ascii="宋体" w:hAnsi="宋体"/>
          <w:szCs w:val="21"/>
        </w:rPr>
        <w:t>“教学与工程项目的交叉融合”的</w:t>
      </w:r>
      <w:r>
        <w:rPr>
          <w:rFonts w:hint="eastAsia" w:ascii="宋体" w:hAnsi="宋体"/>
          <w:bCs/>
          <w:szCs w:val="21"/>
        </w:rPr>
        <w:t>人才培养模式</w:t>
      </w:r>
      <w:r>
        <w:rPr>
          <w:rFonts w:hint="eastAsia" w:ascii="宋体" w:hAnsi="宋体"/>
          <w:szCs w:val="21"/>
        </w:rPr>
        <w:t>。以就业为导向，利用专业优势，建立起“产教融合，协同育人”</w:t>
      </w:r>
      <w:r>
        <w:rPr>
          <w:rFonts w:hint="eastAsia" w:ascii="宋体" w:hAnsi="宋体" w:cs="Arial"/>
          <w:szCs w:val="21"/>
        </w:rPr>
        <w:t>的办</w:t>
      </w:r>
      <w:r>
        <w:rPr>
          <w:rFonts w:hint="eastAsia" w:ascii="宋体" w:hAnsi="宋体"/>
          <w:bCs/>
          <w:szCs w:val="21"/>
        </w:rPr>
        <w:t>学模式。在教学过程中强化实践教学环节，</w:t>
      </w:r>
      <w:r>
        <w:rPr>
          <w:rFonts w:hint="eastAsia" w:ascii="宋体" w:hAnsi="宋体"/>
          <w:szCs w:val="21"/>
        </w:rPr>
        <w:t>密切联系工程实际，培养专业技能水平过硬、综合素质较高、适应市场和职业岗位需求、具有</w:t>
      </w:r>
      <w:r>
        <w:rPr>
          <w:rFonts w:hint="eastAsia" w:ascii="宋体" w:hAnsi="宋体"/>
          <w:bCs/>
          <w:szCs w:val="21"/>
        </w:rPr>
        <w:t>创新创业能力的</w:t>
      </w:r>
      <w:r>
        <w:rPr>
          <w:rFonts w:hint="eastAsia" w:ascii="宋体" w:hAnsi="宋体"/>
          <w:szCs w:val="21"/>
        </w:rPr>
        <w:t>合格人才，让学生在真实的企业环境中提升动手能力和就业竞争力。</w:t>
      </w:r>
    </w:p>
    <w:p>
      <w:pPr>
        <w:adjustRightInd w:val="0"/>
        <w:snapToGrid w:val="0"/>
        <w:spacing w:line="480" w:lineRule="exact"/>
        <w:ind w:firstLine="420" w:firstLineChars="200"/>
        <w:rPr>
          <w:rFonts w:ascii="宋体" w:hAnsi="宋体"/>
          <w:color w:val="000000"/>
          <w:szCs w:val="21"/>
        </w:rPr>
      </w:pPr>
      <w:r>
        <w:rPr>
          <w:rFonts w:hint="eastAsia" w:ascii="宋体" w:hAnsi="宋体"/>
          <w:szCs w:val="21"/>
        </w:rPr>
        <w:t>成立测绘地理信息类专业教学指导委员会，聘请企业专家，引入企业、产业标准，对专业的建设与发展、人才培养模式与课程体系改革、课程开发建设、师资队伍建设、实践教学条件建设和社会服务能力等方面开展指导与建设。聘请合作企业技术骨干担任兼职教师，将企业的技术实践引入课堂教学中。与企业合作建立一批校外实践基地，用于学生校外实践教学、顶岗实习、毕业综合实训，聘请企业技术人员作为校外实训基地的兼职教师，实地指导学生校外实践，把企业、产业标准嵌入到实践教学中。学生毕业后可以直接到实习企业就业，实现无缝对接。与深度合作企业合作成立订单班，建立“厂中校、校中厂”模式，企业参与专业人才培养方案的制定，提出契合企业实际的培养建议，使学校教学与企业需求紧密衔接，让学生在工作中学，将所学理论知识快速引入到工作实践中。</w:t>
      </w:r>
    </w:p>
    <w:p>
      <w:pPr>
        <w:adjustRightInd w:val="0"/>
        <w:snapToGrid w:val="0"/>
        <w:spacing w:line="480" w:lineRule="exact"/>
        <w:ind w:firstLine="420" w:firstLineChars="200"/>
        <w:rPr>
          <w:rFonts w:ascii="宋体" w:hAnsi="宋体"/>
          <w:color w:val="000000"/>
          <w:szCs w:val="21"/>
        </w:rPr>
      </w:pPr>
      <w:r>
        <w:rPr>
          <w:rFonts w:hint="eastAsia" w:ascii="宋体" w:hAnsi="宋体"/>
          <w:color w:val="000000"/>
          <w:szCs w:val="21"/>
        </w:rPr>
        <w:t>（2）</w:t>
      </w:r>
      <w:r>
        <w:rPr>
          <w:rFonts w:hint="eastAsia" w:ascii="宋体" w:hAnsi="宋体"/>
        </w:rPr>
        <w:t>创新课堂教学模式。利用信息化技术提升课堂教学效果，积极探索在线课程与传统课堂的结合模式，教师利用信息技术和资源进行教学设计，实施基于学生学习的教学活动。利用慕课、微课等实现翻转课堂等线上线下混合教学模式，开展智慧教学，使学生成为课堂的主人。</w:t>
      </w:r>
    </w:p>
    <w:p>
      <w:pPr>
        <w:spacing w:line="480" w:lineRule="exact"/>
        <w:ind w:firstLine="420" w:firstLineChars="200"/>
        <w:rPr>
          <w:rFonts w:ascii="宋体" w:hAnsi="宋体"/>
        </w:rPr>
      </w:pPr>
      <w:r>
        <w:rPr>
          <w:rFonts w:hint="eastAsia" w:ascii="宋体" w:hAnsi="宋体"/>
          <w:color w:val="000000"/>
          <w:szCs w:val="21"/>
        </w:rPr>
        <w:t>（3）</w:t>
      </w:r>
      <w:r>
        <w:rPr>
          <w:rFonts w:hint="eastAsia" w:ascii="宋体" w:hAnsi="宋体"/>
        </w:rPr>
        <w:t>开展卓越班教育改革。加强创新型人才的培养，开设无人机技能创新人才培养班和激光LIDAR技术应用卓越班作为培养模式改革试点，聘请企业一线的技术骨干为学生们授课，以“小班”带动“大班”，将改革成果推广到普通班教育教学中，将卓越创新班学生作为职业技能竞赛的储备力量。</w:t>
      </w:r>
    </w:p>
    <w:p>
      <w:pPr>
        <w:spacing w:line="480" w:lineRule="exact"/>
        <w:ind w:firstLine="420" w:firstLineChars="200"/>
        <w:rPr>
          <w:rFonts w:ascii="宋体" w:hAnsi="宋体"/>
        </w:rPr>
      </w:pPr>
      <w:r>
        <w:rPr>
          <w:rFonts w:hint="eastAsia" w:ascii="宋体" w:hAnsi="宋体"/>
        </w:rPr>
        <w:t>（4）积极参加技能竞赛。鼓励教师和学生积极参加职业技能竞赛，以赛代练，同时促进专业的课程改革。</w:t>
      </w:r>
    </w:p>
    <w:p>
      <w:pPr>
        <w:pStyle w:val="3"/>
        <w:rPr>
          <w:sz w:val="24"/>
          <w:szCs w:val="24"/>
        </w:rPr>
      </w:pPr>
      <w:r>
        <w:rPr>
          <w:rFonts w:hint="eastAsia"/>
          <w:sz w:val="24"/>
          <w:szCs w:val="24"/>
        </w:rPr>
        <w:t>2.【课程体系设计】</w:t>
      </w:r>
      <w:bookmarkEnd w:id="18"/>
    </w:p>
    <w:p>
      <w:pPr>
        <w:adjustRightInd w:val="0"/>
        <w:snapToGrid w:val="0"/>
        <w:spacing w:line="480" w:lineRule="exact"/>
        <w:ind w:firstLine="420" w:firstLineChars="200"/>
        <w:rPr>
          <w:rFonts w:ascii="宋体" w:hAnsi="宋体"/>
          <w:color w:val="000000"/>
          <w:szCs w:val="21"/>
        </w:rPr>
      </w:pPr>
      <w:r>
        <w:rPr>
          <w:rFonts w:hint="eastAsia" w:ascii="宋体" w:hAnsi="宋体"/>
          <w:color w:val="000000"/>
          <w:szCs w:val="21"/>
        </w:rPr>
        <w:t>说明：按课程类别分为：基本素质与能力课、专业素质与能力课，总学分达到120学分以上。</w:t>
      </w:r>
    </w:p>
    <w:p>
      <w:pPr>
        <w:adjustRightInd w:val="0"/>
        <w:snapToGrid w:val="0"/>
        <w:spacing w:line="480" w:lineRule="exact"/>
        <w:ind w:firstLine="420" w:firstLineChars="200"/>
        <w:rPr>
          <w:rFonts w:ascii="宋体" w:hAnsi="宋体"/>
          <w:color w:val="000000"/>
          <w:szCs w:val="21"/>
        </w:rPr>
      </w:pPr>
      <w:r>
        <w:rPr>
          <w:rFonts w:hint="eastAsia" w:ascii="宋体" w:hAnsi="宋体"/>
          <w:color w:val="000000"/>
          <w:szCs w:val="21"/>
        </w:rPr>
        <w:t>基本素质与能力课是各专业学生均需学习的有关基础理论、基本知识和基本素养的课程，专业素质与能力课是支撑学生达到本专业培养目标，掌握相应专业领域知识、能力、素质的课程。课程设置及教学内容应基于国家相关文件规定，强化对培养目标与人才规格的支撑，融入有关国家教学标准要求，融入行业企业最新技术技能，注重与职业面向、职业能力要求以及岗位工作任务的对接。</w:t>
      </w:r>
    </w:p>
    <w:p>
      <w:pPr>
        <w:adjustRightInd w:val="0"/>
        <w:snapToGrid w:val="0"/>
        <w:spacing w:line="480" w:lineRule="exact"/>
        <w:ind w:firstLine="420" w:firstLineChars="200"/>
        <w:rPr>
          <w:rFonts w:ascii="宋体" w:hAnsi="宋体"/>
          <w:color w:val="000000"/>
          <w:szCs w:val="21"/>
        </w:rPr>
      </w:pPr>
      <w:r>
        <w:rPr>
          <w:rFonts w:hint="eastAsia" w:ascii="宋体" w:hAnsi="宋体"/>
          <w:color w:val="000000"/>
          <w:szCs w:val="21"/>
        </w:rPr>
        <w:t>①通识课程（基本素质与能力课程）：36学分</w:t>
      </w:r>
    </w:p>
    <w:p>
      <w:pPr>
        <w:widowControl/>
        <w:jc w:val="left"/>
        <w:rPr>
          <w:rFonts w:asciiTheme="majorEastAsia" w:hAnsiTheme="majorEastAsia" w:eastAsiaTheme="majorEastAsia"/>
        </w:rPr>
      </w:pPr>
      <w:r>
        <w:rPr>
          <w:rFonts w:hint="eastAsia" w:ascii="宋体" w:hAnsi="宋体"/>
          <w:color w:val="000000"/>
          <w:szCs w:val="21"/>
        </w:rPr>
        <w:t>毛泽东思想与中国特色社会主义理论体系概论、思想道德修养与法律基础、形势与政策、高等数学、大学英语、计算机应用基础（采用先混合式教学模式）、军事与素质拓展训练、大学生职业发展与就业指导、大学生心理健康以及选修课等课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2"/>
        <w:gridCol w:w="562"/>
        <w:gridCol w:w="3799"/>
        <w:gridCol w:w="699"/>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tcPr>
          <w:p>
            <w:pPr>
              <w:jc w:val="center"/>
              <w:rPr>
                <w:rFonts w:asciiTheme="minorEastAsia" w:hAnsiTheme="minorEastAsia"/>
                <w:sz w:val="18"/>
                <w:szCs w:val="18"/>
              </w:rPr>
            </w:pPr>
            <w:bookmarkStart w:id="19" w:name="_Hlk5643197"/>
            <w:r>
              <w:rPr>
                <w:rFonts w:hint="eastAsia" w:asciiTheme="minorEastAsia" w:hAnsiTheme="minorEastAsia"/>
                <w:sz w:val="18"/>
                <w:szCs w:val="18"/>
              </w:rPr>
              <w:t>类别</w:t>
            </w:r>
          </w:p>
        </w:tc>
        <w:tc>
          <w:tcPr>
            <w:tcW w:w="562" w:type="dxa"/>
          </w:tcPr>
          <w:p>
            <w:pPr>
              <w:jc w:val="center"/>
              <w:rPr>
                <w:rFonts w:asciiTheme="minorEastAsia" w:hAnsiTheme="minorEastAsia"/>
                <w:sz w:val="18"/>
                <w:szCs w:val="18"/>
              </w:rPr>
            </w:pPr>
            <w:r>
              <w:rPr>
                <w:rFonts w:hint="eastAsia" w:asciiTheme="minorEastAsia" w:hAnsiTheme="minorEastAsia"/>
                <w:sz w:val="18"/>
                <w:szCs w:val="18"/>
              </w:rPr>
              <w:t>序号</w:t>
            </w:r>
          </w:p>
        </w:tc>
        <w:tc>
          <w:tcPr>
            <w:tcW w:w="3799" w:type="dxa"/>
          </w:tcPr>
          <w:p>
            <w:pPr>
              <w:jc w:val="center"/>
              <w:rPr>
                <w:rFonts w:asciiTheme="minorEastAsia" w:hAnsiTheme="minorEastAsia"/>
                <w:sz w:val="18"/>
                <w:szCs w:val="18"/>
              </w:rPr>
            </w:pPr>
            <w:r>
              <w:rPr>
                <w:rFonts w:hint="eastAsia" w:asciiTheme="minorEastAsia" w:hAnsiTheme="minorEastAsia"/>
                <w:sz w:val="18"/>
                <w:szCs w:val="18"/>
              </w:rPr>
              <w:t>课程名称</w:t>
            </w:r>
          </w:p>
        </w:tc>
        <w:tc>
          <w:tcPr>
            <w:tcW w:w="699" w:type="dxa"/>
          </w:tcPr>
          <w:p>
            <w:pPr>
              <w:jc w:val="center"/>
              <w:rPr>
                <w:rFonts w:asciiTheme="minorEastAsia" w:hAnsiTheme="minorEastAsia"/>
                <w:sz w:val="18"/>
                <w:szCs w:val="18"/>
              </w:rPr>
            </w:pPr>
            <w:r>
              <w:rPr>
                <w:rFonts w:hint="eastAsia" w:asciiTheme="minorEastAsia" w:hAnsiTheme="minorEastAsia"/>
                <w:sz w:val="18"/>
                <w:szCs w:val="18"/>
              </w:rPr>
              <w:t>学分</w:t>
            </w:r>
          </w:p>
        </w:tc>
        <w:tc>
          <w:tcPr>
            <w:tcW w:w="690" w:type="dxa"/>
          </w:tcPr>
          <w:p>
            <w:pPr>
              <w:jc w:val="center"/>
              <w:rPr>
                <w:rFonts w:asciiTheme="minorEastAsia" w:hAnsiTheme="minorEastAsia"/>
                <w:sz w:val="18"/>
                <w:szCs w:val="18"/>
              </w:rPr>
            </w:pPr>
            <w:r>
              <w:rPr>
                <w:rFonts w:hint="eastAsia" w:asciiTheme="minorEastAsia" w:hAnsiTheme="minorEastAsia"/>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restart"/>
            <w:textDirection w:val="tbRlV"/>
            <w:vAlign w:val="center"/>
          </w:tcPr>
          <w:p>
            <w:pPr>
              <w:ind w:left="113" w:right="113"/>
              <w:jc w:val="center"/>
              <w:rPr>
                <w:rFonts w:asciiTheme="minorEastAsia" w:hAnsiTheme="minorEastAsia"/>
                <w:sz w:val="18"/>
                <w:szCs w:val="18"/>
              </w:rPr>
            </w:pPr>
            <w:r>
              <w:rPr>
                <w:rFonts w:hint="eastAsia" w:asciiTheme="minorEastAsia" w:hAnsiTheme="minorEastAsia"/>
                <w:sz w:val="18"/>
                <w:szCs w:val="18"/>
              </w:rPr>
              <w:t>必修课</w:t>
            </w:r>
          </w:p>
        </w:tc>
        <w:tc>
          <w:tcPr>
            <w:tcW w:w="562" w:type="dxa"/>
          </w:tcPr>
          <w:p>
            <w:pPr>
              <w:jc w:val="center"/>
              <w:rPr>
                <w:rFonts w:asciiTheme="minorEastAsia" w:hAnsiTheme="minorEastAsia"/>
                <w:sz w:val="18"/>
                <w:szCs w:val="18"/>
              </w:rPr>
            </w:pPr>
            <w:r>
              <w:rPr>
                <w:rFonts w:hint="eastAsia" w:asciiTheme="minorEastAsia" w:hAnsiTheme="minorEastAsia"/>
                <w:sz w:val="18"/>
                <w:szCs w:val="18"/>
              </w:rPr>
              <w:t>1</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军事理论</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2</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思想道德修养与法律基础</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3</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4</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形势与政策</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5</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马克思主义中国化进程与青年使命担当</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6</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计算机应用基础</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7</w:t>
            </w:r>
          </w:p>
        </w:tc>
        <w:tc>
          <w:tcPr>
            <w:tcW w:w="3799" w:type="dxa"/>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大学生职业生涯规划</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8</w:t>
            </w:r>
          </w:p>
        </w:tc>
        <w:tc>
          <w:tcPr>
            <w:tcW w:w="3799" w:type="dxa"/>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测绘基础应用技能★</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9</w:t>
            </w:r>
          </w:p>
        </w:tc>
        <w:tc>
          <w:tcPr>
            <w:tcW w:w="3799" w:type="dxa"/>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数字测图★</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10</w:t>
            </w:r>
          </w:p>
        </w:tc>
        <w:tc>
          <w:tcPr>
            <w:tcW w:w="3799" w:type="dxa"/>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不动产测绘</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4</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11</w:t>
            </w:r>
          </w:p>
        </w:tc>
        <w:tc>
          <w:tcPr>
            <w:tcW w:w="3799" w:type="dxa"/>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数据库原理与应用</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4</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12</w:t>
            </w:r>
          </w:p>
        </w:tc>
        <w:tc>
          <w:tcPr>
            <w:tcW w:w="3799" w:type="dxa"/>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工程测量★</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13</w:t>
            </w:r>
          </w:p>
        </w:tc>
        <w:tc>
          <w:tcPr>
            <w:tcW w:w="3799" w:type="dxa"/>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误差理论与测量平差</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shd w:val="clear" w:color="auto" w:fill="auto"/>
            <w:vAlign w:val="center"/>
          </w:tcPr>
          <w:p>
            <w:pPr>
              <w:keepNext w:val="0"/>
              <w:keepLines w:val="0"/>
              <w:widowControl/>
              <w:suppressLineNumbers w:val="0"/>
              <w:jc w:val="center"/>
              <w:textAlignment w:val="center"/>
              <w:rPr>
                <w:rFonts w:ascii="Times New Roman" w:hAnsi="Times New Roman" w:eastAsia="宋体" w:cs="Times New Roman"/>
                <w:sz w:val="20"/>
                <w:szCs w:val="20"/>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restart"/>
            <w:textDirection w:val="tbRlV"/>
            <w:vAlign w:val="center"/>
          </w:tcPr>
          <w:p>
            <w:pPr>
              <w:ind w:left="113" w:right="113"/>
              <w:jc w:val="center"/>
              <w:rPr>
                <w:rFonts w:asciiTheme="minorEastAsia" w:hAnsiTheme="minorEastAsia"/>
                <w:sz w:val="18"/>
                <w:szCs w:val="18"/>
              </w:rPr>
            </w:pPr>
            <w:r>
              <w:rPr>
                <w:rFonts w:hint="eastAsia" w:asciiTheme="minorEastAsia" w:hAnsiTheme="minorEastAsia"/>
                <w:sz w:val="18"/>
                <w:szCs w:val="18"/>
              </w:rPr>
              <w:t>选修课</w:t>
            </w:r>
          </w:p>
        </w:tc>
        <w:tc>
          <w:tcPr>
            <w:tcW w:w="562" w:type="dxa"/>
          </w:tcPr>
          <w:p>
            <w:pPr>
              <w:jc w:val="center"/>
              <w:rPr>
                <w:rFonts w:asciiTheme="minorEastAsia" w:hAnsiTheme="minorEastAsia"/>
                <w:sz w:val="18"/>
                <w:szCs w:val="18"/>
              </w:rPr>
            </w:pPr>
            <w:r>
              <w:rPr>
                <w:rFonts w:hint="eastAsia" w:asciiTheme="minorEastAsia" w:hAnsiTheme="minorEastAsia"/>
                <w:sz w:val="18"/>
                <w:szCs w:val="18"/>
              </w:rPr>
              <w:t>14</w:t>
            </w:r>
          </w:p>
        </w:tc>
        <w:tc>
          <w:tcPr>
            <w:tcW w:w="3799"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测绘管理与法律法规</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vAlign w:val="center"/>
          </w:tcPr>
          <w:p>
            <w:pPr>
              <w:keepNext w:val="0"/>
              <w:keepLines w:val="0"/>
              <w:widowControl/>
              <w:suppressLineNumbers w:val="0"/>
              <w:jc w:val="center"/>
              <w:textAlignment w:val="center"/>
              <w:rPr>
                <w:rFonts w:ascii="Times New Roman" w:hAnsi="Times New Roman" w:eastAsia="宋体" w:cs="Times New Roman"/>
                <w:sz w:val="20"/>
                <w:szCs w:val="20"/>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5</w:t>
            </w:r>
          </w:p>
        </w:tc>
        <w:tc>
          <w:tcPr>
            <w:tcW w:w="3799"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地理信息系统</w:t>
            </w:r>
          </w:p>
        </w:tc>
        <w:tc>
          <w:tcPr>
            <w:tcW w:w="69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690" w:type="dxa"/>
            <w:vAlign w:val="center"/>
          </w:tcPr>
          <w:p>
            <w:pPr>
              <w:keepNext w:val="0"/>
              <w:keepLines w:val="0"/>
              <w:widowControl/>
              <w:suppressLineNumbers w:val="0"/>
              <w:jc w:val="center"/>
              <w:textAlignment w:val="center"/>
              <w:rPr>
                <w:rFonts w:ascii="Times New Roman" w:hAnsi="Times New Roman" w:eastAsia="宋体" w:cs="Times New Roman"/>
                <w:sz w:val="20"/>
                <w:szCs w:val="20"/>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vAlign w:val="top"/>
          </w:tcPr>
          <w:p>
            <w:pPr>
              <w:jc w:val="center"/>
              <w:rPr>
                <w:rFonts w:hint="default" w:asciiTheme="minorEastAsia" w:hAnsiTheme="minorEastAsia" w:eastAsiaTheme="minorEastAsia" w:cstheme="minorBidi"/>
                <w:kern w:val="2"/>
                <w:sz w:val="18"/>
                <w:szCs w:val="18"/>
                <w:lang w:val="en-US" w:eastAsia="zh-CN" w:bidi="ar-SA"/>
              </w:rPr>
            </w:pPr>
            <w:r>
              <w:rPr>
                <w:rFonts w:hint="eastAsia" w:asciiTheme="minorEastAsia" w:hAnsiTheme="minorEastAsia" w:cstheme="minorBidi"/>
                <w:kern w:val="2"/>
                <w:sz w:val="18"/>
                <w:szCs w:val="18"/>
                <w:lang w:val="en-US" w:eastAsia="zh-CN" w:bidi="ar-SA"/>
              </w:rPr>
              <w:t>16</w:t>
            </w:r>
          </w:p>
        </w:tc>
        <w:tc>
          <w:tcPr>
            <w:tcW w:w="3799" w:type="dxa"/>
            <w:shd w:val="clear" w:color="auto" w:fill="auto"/>
            <w:vAlign w:val="center"/>
          </w:tcPr>
          <w:p>
            <w:pPr>
              <w:keepNext w:val="0"/>
              <w:keepLines w:val="0"/>
              <w:widowControl/>
              <w:suppressLineNumbers w:val="0"/>
              <w:jc w:val="left"/>
              <w:textAlignment w:val="center"/>
              <w:rPr>
                <w:rFonts w:hint="eastAsia" w:ascii="Times New Roman" w:hAnsi="Times New Roman" w:eastAsia="宋体" w:cs="Times New Roman"/>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控制测量★</w:t>
            </w:r>
          </w:p>
        </w:tc>
        <w:tc>
          <w:tcPr>
            <w:tcW w:w="699"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 xml:space="preserve">4 </w:t>
            </w:r>
          </w:p>
        </w:tc>
        <w:tc>
          <w:tcPr>
            <w:tcW w:w="690" w:type="dxa"/>
            <w:vAlign w:val="center"/>
          </w:tcPr>
          <w:p>
            <w:pPr>
              <w:keepNext w:val="0"/>
              <w:keepLines w:val="0"/>
              <w:widowControl/>
              <w:suppressLineNumbers w:val="0"/>
              <w:jc w:val="center"/>
              <w:textAlignment w:val="center"/>
              <w:rPr>
                <w:rFonts w:hint="eastAsia" w:ascii="Times New Roman" w:hAnsi="Times New Roman" w:eastAsia="宋体" w:cs="Times New Roman"/>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vAlign w:val="top"/>
          </w:tcPr>
          <w:p>
            <w:pPr>
              <w:jc w:val="center"/>
              <w:rPr>
                <w:rFonts w:hint="default" w:asciiTheme="minorEastAsia" w:hAnsiTheme="minorEastAsia" w:eastAsiaTheme="minorEastAsia" w:cstheme="minorBidi"/>
                <w:kern w:val="2"/>
                <w:sz w:val="18"/>
                <w:szCs w:val="18"/>
                <w:lang w:val="en-US" w:eastAsia="zh-CN" w:bidi="ar-SA"/>
              </w:rPr>
            </w:pPr>
            <w:r>
              <w:rPr>
                <w:rFonts w:hint="eastAsia" w:asciiTheme="minorEastAsia" w:hAnsiTheme="minorEastAsia" w:cstheme="minorBidi"/>
                <w:kern w:val="2"/>
                <w:sz w:val="18"/>
                <w:szCs w:val="18"/>
                <w:lang w:val="en-US" w:eastAsia="zh-CN" w:bidi="ar-SA"/>
              </w:rPr>
              <w:t>17</w:t>
            </w:r>
          </w:p>
        </w:tc>
        <w:tc>
          <w:tcPr>
            <w:tcW w:w="3799"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控制测量实训</w:t>
            </w:r>
          </w:p>
        </w:tc>
        <w:tc>
          <w:tcPr>
            <w:tcW w:w="699"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 xml:space="preserve">6 </w:t>
            </w:r>
          </w:p>
        </w:tc>
        <w:tc>
          <w:tcPr>
            <w:tcW w:w="690" w:type="dxa"/>
            <w:vAlign w:val="center"/>
          </w:tcPr>
          <w:p>
            <w:pPr>
              <w:keepNext w:val="0"/>
              <w:keepLines w:val="0"/>
              <w:widowControl/>
              <w:suppressLineNumbers w:val="0"/>
              <w:jc w:val="center"/>
              <w:textAlignment w:val="center"/>
              <w:rPr>
                <w:rFonts w:hint="eastAsia" w:ascii="Times New Roman" w:hAnsi="Times New Roman" w:eastAsia="宋体" w:cs="Times New Roman"/>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18</w:t>
            </w:r>
          </w:p>
        </w:tc>
        <w:tc>
          <w:tcPr>
            <w:tcW w:w="3799"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不动产测绘实训</w:t>
            </w:r>
          </w:p>
        </w:tc>
        <w:tc>
          <w:tcPr>
            <w:tcW w:w="699"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6</w:t>
            </w:r>
          </w:p>
        </w:tc>
        <w:tc>
          <w:tcPr>
            <w:tcW w:w="690" w:type="dxa"/>
            <w:vAlign w:val="center"/>
          </w:tcPr>
          <w:p>
            <w:pPr>
              <w:keepNext w:val="0"/>
              <w:keepLines w:val="0"/>
              <w:widowControl/>
              <w:suppressLineNumbers w:val="0"/>
              <w:jc w:val="center"/>
              <w:textAlignment w:val="center"/>
              <w:rPr>
                <w:rFonts w:hint="eastAsia" w:ascii="Times New Roman" w:hAnsi="Times New Roman" w:eastAsia="宋体" w:cs="Times New Roman"/>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19</w:t>
            </w:r>
          </w:p>
        </w:tc>
        <w:tc>
          <w:tcPr>
            <w:tcW w:w="3799" w:type="dxa"/>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GNSS卫星定位测量</w:t>
            </w:r>
          </w:p>
        </w:tc>
        <w:tc>
          <w:tcPr>
            <w:tcW w:w="699"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 xml:space="preserve">4 </w:t>
            </w:r>
          </w:p>
        </w:tc>
        <w:tc>
          <w:tcPr>
            <w:tcW w:w="690" w:type="dxa"/>
            <w:vAlign w:val="center"/>
          </w:tcPr>
          <w:p>
            <w:pPr>
              <w:keepNext w:val="0"/>
              <w:keepLines w:val="0"/>
              <w:widowControl/>
              <w:suppressLineNumbers w:val="0"/>
              <w:jc w:val="center"/>
              <w:textAlignment w:val="center"/>
              <w:rPr>
                <w:rFonts w:hint="eastAsia" w:ascii="Times New Roman" w:hAnsi="Times New Roman" w:cs="Times New Roman" w:eastAsiaTheme="minorEastAsia"/>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20</w:t>
            </w:r>
          </w:p>
        </w:tc>
        <w:tc>
          <w:tcPr>
            <w:tcW w:w="3799" w:type="dxa"/>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数字测图实训</w:t>
            </w:r>
          </w:p>
        </w:tc>
        <w:tc>
          <w:tcPr>
            <w:tcW w:w="699"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 xml:space="preserve">6 </w:t>
            </w:r>
          </w:p>
        </w:tc>
        <w:tc>
          <w:tcPr>
            <w:tcW w:w="690" w:type="dxa"/>
            <w:vAlign w:val="center"/>
          </w:tcPr>
          <w:p>
            <w:pPr>
              <w:keepNext w:val="0"/>
              <w:keepLines w:val="0"/>
              <w:widowControl/>
              <w:suppressLineNumbers w:val="0"/>
              <w:jc w:val="center"/>
              <w:textAlignment w:val="center"/>
              <w:rPr>
                <w:rFonts w:hint="eastAsia" w:ascii="Times New Roman" w:hAnsi="Times New Roman" w:cs="Times New Roman" w:eastAsiaTheme="minorEastAsia"/>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21</w:t>
            </w:r>
          </w:p>
        </w:tc>
        <w:tc>
          <w:tcPr>
            <w:tcW w:w="3799" w:type="dxa"/>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工程测量实训</w:t>
            </w:r>
          </w:p>
        </w:tc>
        <w:tc>
          <w:tcPr>
            <w:tcW w:w="699"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 xml:space="preserve">6 </w:t>
            </w:r>
          </w:p>
        </w:tc>
        <w:tc>
          <w:tcPr>
            <w:tcW w:w="690" w:type="dxa"/>
            <w:vAlign w:val="center"/>
          </w:tcPr>
          <w:p>
            <w:pPr>
              <w:keepNext w:val="0"/>
              <w:keepLines w:val="0"/>
              <w:widowControl/>
              <w:suppressLineNumbers w:val="0"/>
              <w:jc w:val="center"/>
              <w:textAlignment w:val="center"/>
              <w:rPr>
                <w:rFonts w:hint="eastAsia" w:ascii="Times New Roman" w:hAnsi="Times New Roman" w:cs="Times New Roman" w:eastAsiaTheme="minorEastAsia"/>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22</w:t>
            </w:r>
          </w:p>
        </w:tc>
        <w:tc>
          <w:tcPr>
            <w:tcW w:w="3799" w:type="dxa"/>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摄影测量与遥感</w:t>
            </w:r>
          </w:p>
        </w:tc>
        <w:tc>
          <w:tcPr>
            <w:tcW w:w="699"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4</w:t>
            </w:r>
          </w:p>
        </w:tc>
        <w:tc>
          <w:tcPr>
            <w:tcW w:w="690" w:type="dxa"/>
            <w:vAlign w:val="center"/>
          </w:tcPr>
          <w:p>
            <w:pPr>
              <w:keepNext w:val="0"/>
              <w:keepLines w:val="0"/>
              <w:widowControl/>
              <w:suppressLineNumbers w:val="0"/>
              <w:jc w:val="center"/>
              <w:textAlignment w:val="center"/>
              <w:rPr>
                <w:rFonts w:hint="eastAsia" w:ascii="Times New Roman" w:hAnsi="Times New Roman" w:cs="Times New Roman" w:eastAsiaTheme="minorEastAsia"/>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23</w:t>
            </w:r>
          </w:p>
        </w:tc>
        <w:tc>
          <w:tcPr>
            <w:tcW w:w="3799" w:type="dxa"/>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摄影测量与遥感实训</w:t>
            </w:r>
          </w:p>
        </w:tc>
        <w:tc>
          <w:tcPr>
            <w:tcW w:w="699"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6</w:t>
            </w:r>
          </w:p>
        </w:tc>
        <w:tc>
          <w:tcPr>
            <w:tcW w:w="690" w:type="dxa"/>
            <w:vAlign w:val="center"/>
          </w:tcPr>
          <w:p>
            <w:pPr>
              <w:keepNext w:val="0"/>
              <w:keepLines w:val="0"/>
              <w:widowControl/>
              <w:suppressLineNumbers w:val="0"/>
              <w:jc w:val="center"/>
              <w:textAlignment w:val="center"/>
              <w:rPr>
                <w:rFonts w:hint="eastAsia" w:ascii="Times New Roman" w:hAnsi="Times New Roman" w:cs="Times New Roman" w:eastAsiaTheme="minorEastAsia"/>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24</w:t>
            </w:r>
          </w:p>
        </w:tc>
        <w:tc>
          <w:tcPr>
            <w:tcW w:w="3799" w:type="dxa"/>
            <w:shd w:val="clear" w:color="auto" w:fill="auto"/>
            <w:vAlign w:val="center"/>
          </w:tcPr>
          <w:p>
            <w:pPr>
              <w:keepNext w:val="0"/>
              <w:keepLines w:val="0"/>
              <w:widowControl/>
              <w:suppressLineNumbers w:val="0"/>
              <w:jc w:val="left"/>
              <w:textAlignment w:val="center"/>
              <w:rPr>
                <w:rFonts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地理信息系统实训</w:t>
            </w:r>
          </w:p>
        </w:tc>
        <w:tc>
          <w:tcPr>
            <w:tcW w:w="699" w:type="dxa"/>
            <w:vAlign w:val="center"/>
          </w:tcPr>
          <w:p>
            <w:pPr>
              <w:keepNext w:val="0"/>
              <w:keepLines w:val="0"/>
              <w:widowControl/>
              <w:suppressLineNumbers w:val="0"/>
              <w:jc w:val="center"/>
              <w:textAlignment w:val="center"/>
              <w:rPr>
                <w:rFonts w:ascii="宋体" w:hAnsi="宋体" w:eastAsia="宋体" w:cs="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 xml:space="preserve">6 </w:t>
            </w:r>
          </w:p>
        </w:tc>
        <w:tc>
          <w:tcPr>
            <w:tcW w:w="690" w:type="dxa"/>
            <w:vAlign w:val="center"/>
          </w:tcPr>
          <w:p>
            <w:pPr>
              <w:keepNext w:val="0"/>
              <w:keepLines w:val="0"/>
              <w:widowControl/>
              <w:suppressLineNumbers w:val="0"/>
              <w:jc w:val="center"/>
              <w:textAlignment w:val="center"/>
              <w:rPr>
                <w:rFonts w:ascii="Times New Roman" w:hAnsi="Times New Roman" w:eastAsia="宋体" w:cs="Times New Roman"/>
                <w:kern w:val="2"/>
                <w:sz w:val="20"/>
                <w:szCs w:val="20"/>
                <w:lang w:val="en-US" w:eastAsia="zh-CN" w:bidi="ar-SA"/>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25</w:t>
            </w:r>
          </w:p>
        </w:tc>
        <w:tc>
          <w:tcPr>
            <w:tcW w:w="3799" w:type="dxa"/>
            <w:shd w:val="clear" w:color="auto" w:fill="auto"/>
            <w:vAlign w:val="center"/>
          </w:tcPr>
          <w:p>
            <w:pPr>
              <w:keepNext w:val="0"/>
              <w:keepLines w:val="0"/>
              <w:widowControl/>
              <w:suppressLineNumbers w:val="0"/>
              <w:jc w:val="both"/>
              <w:textAlignment w:val="center"/>
              <w:rPr>
                <w:rFonts w:hint="eastAsia"/>
                <w:sz w:val="18"/>
                <w:szCs w:val="18"/>
              </w:rPr>
            </w:pPr>
            <w:r>
              <w:rPr>
                <w:rFonts w:hint="eastAsia" w:ascii="宋体" w:hAnsi="宋体" w:eastAsia="宋体" w:cs="宋体"/>
                <w:i w:val="0"/>
                <w:color w:val="000000"/>
                <w:kern w:val="0"/>
                <w:sz w:val="18"/>
                <w:szCs w:val="18"/>
                <w:u w:val="none"/>
                <w:lang w:val="en-US" w:eastAsia="zh-CN" w:bidi="ar"/>
              </w:rPr>
              <w:t>大学生职业发展与就业指导</w:t>
            </w:r>
          </w:p>
        </w:tc>
        <w:tc>
          <w:tcPr>
            <w:tcW w:w="699" w:type="dxa"/>
            <w:vAlign w:val="center"/>
          </w:tcPr>
          <w:p>
            <w:pPr>
              <w:keepNext w:val="0"/>
              <w:keepLines w:val="0"/>
              <w:widowControl/>
              <w:suppressLineNumbers w:val="0"/>
              <w:jc w:val="center"/>
              <w:textAlignment w:val="center"/>
              <w:rPr>
                <w:rFonts w:hint="eastAsia"/>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690" w:type="dxa"/>
            <w:vAlign w:val="center"/>
          </w:tcPr>
          <w:p>
            <w:pPr>
              <w:keepNext w:val="0"/>
              <w:keepLines w:val="0"/>
              <w:widowControl/>
              <w:suppressLineNumbers w:val="0"/>
              <w:jc w:val="center"/>
              <w:textAlignment w:val="center"/>
              <w:rPr>
                <w:rFonts w:ascii="Times New Roman" w:hAnsi="Times New Roman" w:cs="Times New Roman"/>
                <w:sz w:val="20"/>
                <w:szCs w:val="20"/>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26</w:t>
            </w:r>
          </w:p>
        </w:tc>
        <w:tc>
          <w:tcPr>
            <w:tcW w:w="3799" w:type="dxa"/>
            <w:shd w:val="clear" w:color="auto" w:fill="auto"/>
            <w:vAlign w:val="center"/>
          </w:tcPr>
          <w:p>
            <w:pPr>
              <w:keepNext w:val="0"/>
              <w:keepLines w:val="0"/>
              <w:widowControl/>
              <w:suppressLineNumbers w:val="0"/>
              <w:jc w:val="left"/>
              <w:textAlignment w:val="center"/>
              <w:rPr>
                <w:rFonts w:hint="eastAsia"/>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699" w:type="dxa"/>
            <w:vAlign w:val="center"/>
          </w:tcPr>
          <w:p>
            <w:pPr>
              <w:keepNext w:val="0"/>
              <w:keepLines w:val="0"/>
              <w:widowControl/>
              <w:suppressLineNumbers w:val="0"/>
              <w:jc w:val="center"/>
              <w:textAlignment w:val="center"/>
              <w:rPr>
                <w:rFonts w:hint="eastAsia"/>
                <w:sz w:val="18"/>
                <w:szCs w:val="18"/>
              </w:rPr>
            </w:pPr>
            <w:r>
              <w:rPr>
                <w:rFonts w:hint="eastAsia" w:ascii="宋体" w:hAnsi="宋体" w:eastAsia="宋体" w:cs="宋体"/>
                <w:i w:val="0"/>
                <w:color w:val="000000"/>
                <w:kern w:val="0"/>
                <w:sz w:val="18"/>
                <w:szCs w:val="18"/>
                <w:u w:val="none"/>
                <w:lang w:val="en-US" w:eastAsia="zh-CN" w:bidi="ar"/>
              </w:rPr>
              <w:t>16</w:t>
            </w:r>
          </w:p>
        </w:tc>
        <w:tc>
          <w:tcPr>
            <w:tcW w:w="690" w:type="dxa"/>
            <w:vAlign w:val="center"/>
          </w:tcPr>
          <w:p>
            <w:pPr>
              <w:keepNext w:val="0"/>
              <w:keepLines w:val="0"/>
              <w:widowControl/>
              <w:suppressLineNumbers w:val="0"/>
              <w:jc w:val="center"/>
              <w:textAlignment w:val="center"/>
              <w:rPr>
                <w:rFonts w:ascii="Times New Roman" w:hAnsi="Times New Roman" w:cs="Times New Roman"/>
                <w:sz w:val="20"/>
                <w:szCs w:val="20"/>
              </w:rPr>
            </w:pPr>
            <w:r>
              <w:rPr>
                <w:rFonts w:hint="eastAsia" w:ascii="宋体" w:hAnsi="宋体" w:eastAsia="宋体" w:cs="宋体"/>
                <w:i w:val="0"/>
                <w:color w:val="000000"/>
                <w:kern w:val="0"/>
                <w:sz w:val="18"/>
                <w:szCs w:val="18"/>
                <w:u w:val="none"/>
                <w:lang w:val="en-US" w:eastAsia="zh-CN"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tcPr>
          <w:p>
            <w:pPr>
              <w:jc w:val="center"/>
              <w:rPr>
                <w:rFonts w:asciiTheme="minorEastAsia" w:hAnsiTheme="minorEastAsia"/>
                <w:sz w:val="18"/>
                <w:szCs w:val="18"/>
              </w:rPr>
            </w:pPr>
          </w:p>
        </w:tc>
        <w:tc>
          <w:tcPr>
            <w:tcW w:w="562" w:type="dxa"/>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27</w:t>
            </w:r>
          </w:p>
        </w:tc>
        <w:tc>
          <w:tcPr>
            <w:tcW w:w="3799" w:type="dxa"/>
            <w:shd w:val="clear" w:color="auto" w:fill="auto"/>
            <w:vAlign w:val="center"/>
          </w:tcPr>
          <w:p>
            <w:pPr>
              <w:keepNext w:val="0"/>
              <w:keepLines w:val="0"/>
              <w:widowControl/>
              <w:suppressLineNumbers w:val="0"/>
              <w:jc w:val="left"/>
              <w:textAlignment w:val="center"/>
              <w:rPr>
                <w:rFonts w:hint="eastAsia"/>
                <w:sz w:val="18"/>
                <w:szCs w:val="18"/>
              </w:rPr>
            </w:pPr>
            <w:r>
              <w:rPr>
                <w:rFonts w:hint="eastAsia" w:ascii="宋体" w:hAnsi="宋体" w:eastAsia="宋体" w:cs="宋体"/>
                <w:i w:val="0"/>
                <w:color w:val="000000"/>
                <w:kern w:val="0"/>
                <w:sz w:val="18"/>
                <w:szCs w:val="18"/>
                <w:u w:val="none"/>
                <w:lang w:val="en-US" w:eastAsia="zh-CN" w:bidi="ar"/>
              </w:rPr>
              <w:t>GNSS卫星定位测量实训</w:t>
            </w:r>
          </w:p>
        </w:tc>
        <w:tc>
          <w:tcPr>
            <w:tcW w:w="699" w:type="dxa"/>
            <w:vAlign w:val="center"/>
          </w:tcPr>
          <w:p>
            <w:pPr>
              <w:keepNext w:val="0"/>
              <w:keepLines w:val="0"/>
              <w:widowControl/>
              <w:suppressLineNumbers w:val="0"/>
              <w:jc w:val="center"/>
              <w:textAlignment w:val="center"/>
              <w:rPr>
                <w:rFonts w:hint="eastAsia"/>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690" w:type="dxa"/>
            <w:vAlign w:val="center"/>
          </w:tcPr>
          <w:p>
            <w:pPr>
              <w:keepNext w:val="0"/>
              <w:keepLines w:val="0"/>
              <w:widowControl/>
              <w:suppressLineNumbers w:val="0"/>
              <w:jc w:val="center"/>
              <w:textAlignment w:val="center"/>
              <w:rPr>
                <w:rFonts w:ascii="Times New Roman" w:hAnsi="Times New Roman" w:cs="Times New Roman"/>
                <w:sz w:val="20"/>
                <w:szCs w:val="20"/>
              </w:rPr>
            </w:pPr>
            <w:r>
              <w:rPr>
                <w:rFonts w:hint="eastAsia" w:ascii="宋体" w:hAnsi="宋体" w:eastAsia="宋体" w:cs="宋体"/>
                <w:i w:val="0"/>
                <w:color w:val="000000"/>
                <w:kern w:val="0"/>
                <w:sz w:val="18"/>
                <w:szCs w:val="18"/>
                <w:u w:val="none"/>
                <w:lang w:val="en-US" w:eastAsia="zh-CN" w:bidi="ar"/>
              </w:rPr>
              <w:t>108</w:t>
            </w:r>
          </w:p>
        </w:tc>
      </w:tr>
      <w:bookmarkEnd w:id="19"/>
    </w:tbl>
    <w:p>
      <w:pPr>
        <w:adjustRightInd w:val="0"/>
        <w:snapToGrid w:val="0"/>
        <w:spacing w:line="480" w:lineRule="exact"/>
        <w:ind w:firstLine="420" w:firstLineChars="200"/>
        <w:rPr>
          <w:rFonts w:ascii="宋体" w:hAnsi="宋体"/>
          <w:color w:val="000000"/>
          <w:szCs w:val="21"/>
        </w:rPr>
      </w:pPr>
      <w:r>
        <w:rPr>
          <w:rFonts w:hint="eastAsia" w:ascii="宋体" w:hAnsi="宋体"/>
          <w:color w:val="000000"/>
          <w:szCs w:val="21"/>
        </w:rPr>
        <w:t>②专业素质与能力课程：</w:t>
      </w:r>
    </w:p>
    <w:p>
      <w:pPr>
        <w:adjustRightInd w:val="0"/>
        <w:snapToGrid w:val="0"/>
        <w:spacing w:line="480" w:lineRule="exact"/>
        <w:ind w:firstLine="420" w:firstLineChars="200"/>
        <w:rPr>
          <w:rFonts w:ascii="宋体" w:hAnsi="宋体"/>
          <w:color w:val="000000"/>
          <w:szCs w:val="21"/>
        </w:rPr>
      </w:pPr>
      <w:r>
        <w:rPr>
          <w:rFonts w:hint="eastAsia" w:ascii="宋体" w:hAnsi="宋体"/>
          <w:color w:val="000000"/>
          <w:szCs w:val="21"/>
        </w:rPr>
        <w:t>专业素质与能力课程设置要与培养目标相适应，课程内容要紧密联系生产劳动实际和社会实践，突出应用性和实践性，注重学生职业能力和职业精神的培养。专业课程设置要注重引导和体现理实一体化教学。</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实践性教学环节主要包括实习、实训、毕业设计等。应依据国家发布的有关专业顶岗实习标准，严格执行《职业学校学生实习管理规定》有关要求，组织好认识实习、跟岗实习和顶岗实习。</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 xml:space="preserve">应根据有关文件规定开设关于安全教育、节能减排、绿色环保、金融知识、社会责任、人口资源、海洋科学、管理等人文素养、科学素养方面的选修课程、创新创业课程、拓展课程或专题讲座（活动），并将有关知识融入到专业教学内容中；还应组织开展志愿服务活动及其他社会实践活动。 </w:t>
      </w:r>
    </w:p>
    <w:p>
      <w:pPr>
        <w:widowControl/>
        <w:jc w:val="left"/>
        <w:rPr>
          <w:rFonts w:asciiTheme="majorEastAsia" w:hAnsiTheme="majorEastAsia" w:eastAsiaTheme="majorEastAsia"/>
        </w:rPr>
      </w:pPr>
      <w:r>
        <w:rPr>
          <w:rFonts w:hint="eastAsia" w:ascii="宋体" w:hAnsi="宋体"/>
          <w:szCs w:val="21"/>
        </w:rPr>
        <w:t>主要包括专业技术平台课程（为必修课程和选修课程，分别为25学分和25学分）、专业技术方向课（为选修课程，可列多个方向，学生选择其中一个方向，20学分）、创新创业特色课程（为选修课程，学生必须完成本模块学分达到6学分）。此外，毕业综合实训和生产(顶岗)实习课程（选修课程，13学分）放入专业技术方向课程模块内。</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2"/>
        <w:gridCol w:w="562"/>
        <w:gridCol w:w="2940"/>
        <w:gridCol w:w="817"/>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类别</w:t>
            </w: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序号</w:t>
            </w:r>
          </w:p>
        </w:tc>
        <w:tc>
          <w:tcPr>
            <w:tcW w:w="2940" w:type="dxa"/>
            <w:shd w:val="clear" w:color="auto" w:fill="auto"/>
            <w:vAlign w:val="top"/>
          </w:tcPr>
          <w:p>
            <w:pPr>
              <w:jc w:val="center"/>
              <w:rPr>
                <w:rFonts w:asciiTheme="minorEastAsia" w:hAnsiTheme="minorEastAsia"/>
                <w:sz w:val="18"/>
                <w:szCs w:val="18"/>
              </w:rPr>
            </w:pPr>
            <w:r>
              <w:rPr>
                <w:rFonts w:hint="eastAsia" w:asciiTheme="minorEastAsia" w:hAnsiTheme="minorEastAsia"/>
                <w:sz w:val="18"/>
                <w:szCs w:val="18"/>
              </w:rPr>
              <w:t>课程名称</w:t>
            </w:r>
          </w:p>
        </w:tc>
        <w:tc>
          <w:tcPr>
            <w:tcW w:w="817" w:type="dxa"/>
            <w:shd w:val="clear" w:color="auto" w:fill="auto"/>
            <w:vAlign w:val="top"/>
          </w:tcPr>
          <w:p>
            <w:pPr>
              <w:jc w:val="center"/>
              <w:rPr>
                <w:rFonts w:asciiTheme="minorEastAsia" w:hAnsiTheme="minorEastAsia"/>
                <w:sz w:val="18"/>
                <w:szCs w:val="18"/>
              </w:rPr>
            </w:pPr>
            <w:r>
              <w:rPr>
                <w:rFonts w:hint="eastAsia" w:asciiTheme="minorEastAsia" w:hAnsiTheme="minorEastAsia"/>
                <w:sz w:val="18"/>
                <w:szCs w:val="18"/>
              </w:rPr>
              <w:t>学分</w:t>
            </w:r>
          </w:p>
        </w:tc>
        <w:tc>
          <w:tcPr>
            <w:tcW w:w="2086" w:type="dxa"/>
            <w:shd w:val="clear" w:color="auto" w:fill="auto"/>
            <w:vAlign w:val="top"/>
          </w:tcPr>
          <w:p>
            <w:pPr>
              <w:jc w:val="center"/>
              <w:rPr>
                <w:rFonts w:asciiTheme="minorEastAsia" w:hAnsiTheme="minorEastAsia"/>
                <w:sz w:val="18"/>
                <w:szCs w:val="18"/>
              </w:rPr>
            </w:pPr>
            <w:r>
              <w:rPr>
                <w:rFonts w:hint="eastAsia" w:asciiTheme="minorEastAsia" w:hAnsiTheme="minorEastAsia"/>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restart"/>
            <w:shd w:val="clear" w:color="auto" w:fill="auto"/>
            <w:textDirection w:val="tbRlV"/>
            <w:vAlign w:val="center"/>
          </w:tcPr>
          <w:p>
            <w:pPr>
              <w:ind w:left="113" w:right="113"/>
              <w:jc w:val="center"/>
              <w:rPr>
                <w:rFonts w:asciiTheme="minorEastAsia" w:hAnsiTheme="minorEastAsia"/>
                <w:sz w:val="18"/>
                <w:szCs w:val="18"/>
              </w:rPr>
            </w:pPr>
            <w:r>
              <w:rPr>
                <w:rFonts w:hint="eastAsia" w:asciiTheme="minorEastAsia" w:hAnsiTheme="minorEastAsia"/>
                <w:sz w:val="18"/>
                <w:szCs w:val="18"/>
              </w:rPr>
              <w:t>专业技术方向课</w:t>
            </w: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测绘基础应用技能★</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2</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数字测图★</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3</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不动产测绘</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4</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4</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数据库原理与应用</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4</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5</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工程测量★</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6</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误差理论与测量平差</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7</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测绘管理与法律法规</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8</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地理信息系统</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9</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控制测量★</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10</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控制测量实训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11</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不动产测绘实训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6</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12</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GNSS卫星定位测量</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13</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数字测图实训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14</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工程测量实训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extDirection w:val="tbRlV"/>
            <w:vAlign w:val="center"/>
          </w:tcPr>
          <w:p>
            <w:pPr>
              <w:ind w:left="113" w:right="113"/>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15</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摄影测量与遥感</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4</w:t>
            </w:r>
          </w:p>
        </w:tc>
        <w:tc>
          <w:tcPr>
            <w:tcW w:w="2086"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6</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摄影测量与遥感实训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6</w:t>
            </w:r>
          </w:p>
        </w:tc>
        <w:tc>
          <w:tcPr>
            <w:tcW w:w="2086"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extDirection w:val="tbRlV"/>
            <w:vAlign w:val="center"/>
          </w:tcPr>
          <w:p>
            <w:pPr>
              <w:ind w:left="113" w:right="113"/>
              <w:jc w:val="center"/>
              <w:rPr>
                <w:rFonts w:asciiTheme="minorEastAsia" w:hAnsiTheme="minorEastAsia"/>
                <w:sz w:val="18"/>
                <w:szCs w:val="18"/>
              </w:rPr>
            </w:pPr>
          </w:p>
        </w:tc>
        <w:tc>
          <w:tcPr>
            <w:tcW w:w="562" w:type="dxa"/>
            <w:shd w:val="clear" w:color="auto" w:fill="auto"/>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17</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地理信息系统实训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extDirection w:val="tbRlV"/>
            <w:vAlign w:val="center"/>
          </w:tcPr>
          <w:p>
            <w:pPr>
              <w:ind w:left="113" w:right="113"/>
              <w:jc w:val="center"/>
              <w:rPr>
                <w:rFonts w:asciiTheme="minorEastAsia" w:hAnsiTheme="minorEastAsia"/>
                <w:sz w:val="18"/>
                <w:szCs w:val="18"/>
              </w:rPr>
            </w:pPr>
          </w:p>
        </w:tc>
        <w:tc>
          <w:tcPr>
            <w:tcW w:w="562" w:type="dxa"/>
            <w:shd w:val="clear" w:color="auto" w:fill="auto"/>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18</w:t>
            </w:r>
          </w:p>
        </w:tc>
        <w:tc>
          <w:tcPr>
            <w:tcW w:w="2940" w:type="dxa"/>
            <w:shd w:val="clear" w:color="auto" w:fill="auto"/>
            <w:vAlign w:val="center"/>
          </w:tcPr>
          <w:p>
            <w:pPr>
              <w:keepNext w:val="0"/>
              <w:keepLines w:val="0"/>
              <w:widowControl/>
              <w:suppressLineNumbers w:val="0"/>
              <w:jc w:val="both"/>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大学生职业发展与就业指导</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vMerge w:val="continue"/>
            <w:shd w:val="clear" w:color="auto" w:fill="auto"/>
          </w:tcPr>
          <w:p>
            <w:pPr>
              <w:jc w:val="center"/>
              <w:rPr>
                <w:rFonts w:asciiTheme="minorEastAsia" w:hAnsiTheme="minorEastAsia"/>
                <w:sz w:val="18"/>
                <w:szCs w:val="18"/>
              </w:rPr>
            </w:pPr>
          </w:p>
        </w:tc>
        <w:tc>
          <w:tcPr>
            <w:tcW w:w="562" w:type="dxa"/>
            <w:shd w:val="clear" w:color="auto" w:fill="auto"/>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19</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16</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4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sz w:val="18"/>
                <w:szCs w:val="18"/>
              </w:rPr>
            </w:pPr>
            <w:r>
              <w:rPr>
                <w:rFonts w:hint="eastAsia" w:asciiTheme="minorEastAsia" w:hAnsiTheme="minorEastAsia"/>
                <w:sz w:val="18"/>
                <w:szCs w:val="18"/>
              </w:rPr>
              <w:t>创新创业与综合能力模块（6学分）</w:t>
            </w:r>
          </w:p>
        </w:tc>
        <w:tc>
          <w:tcPr>
            <w:tcW w:w="562" w:type="dxa"/>
            <w:shd w:val="clear" w:color="auto" w:fill="auto"/>
            <w:vAlign w:val="center"/>
          </w:tcPr>
          <w:p>
            <w:pPr>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20</w:t>
            </w:r>
          </w:p>
        </w:tc>
        <w:tc>
          <w:tcPr>
            <w:tcW w:w="2940" w:type="dxa"/>
            <w:shd w:val="clear" w:color="auto" w:fill="auto"/>
            <w:vAlign w:val="center"/>
          </w:tcPr>
          <w:p>
            <w:pPr>
              <w:keepNext w:val="0"/>
              <w:keepLines w:val="0"/>
              <w:widowControl/>
              <w:suppressLineNumbers w:val="0"/>
              <w:jc w:val="left"/>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GNSS卫星定位测量实训</w:t>
            </w:r>
          </w:p>
        </w:tc>
        <w:tc>
          <w:tcPr>
            <w:tcW w:w="817"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2086" w:type="dxa"/>
            <w:shd w:val="clear" w:color="auto" w:fill="auto"/>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4044" w:type="dxa"/>
            <w:gridSpan w:val="3"/>
            <w:shd w:val="clear" w:color="auto" w:fill="auto"/>
          </w:tcPr>
          <w:p>
            <w:pPr>
              <w:jc w:val="center"/>
              <w:rPr>
                <w:rFonts w:hint="eastAsia" w:eastAsiaTheme="minorEastAsia"/>
                <w:sz w:val="18"/>
                <w:szCs w:val="18"/>
                <w:lang w:val="en-US" w:eastAsia="zh-CN"/>
              </w:rPr>
            </w:pPr>
            <w:r>
              <w:rPr>
                <w:rFonts w:hint="eastAsia"/>
                <w:sz w:val="18"/>
                <w:szCs w:val="18"/>
                <w:lang w:val="en-US" w:eastAsia="zh-CN"/>
              </w:rPr>
              <w:t>合计</w:t>
            </w:r>
          </w:p>
        </w:tc>
        <w:tc>
          <w:tcPr>
            <w:tcW w:w="817" w:type="dxa"/>
            <w:shd w:val="clear" w:color="auto" w:fill="auto"/>
            <w:vAlign w:val="center"/>
          </w:tcPr>
          <w:p>
            <w:pPr>
              <w:jc w:val="center"/>
              <w:rPr>
                <w:rFonts w:hint="default" w:eastAsiaTheme="minorEastAsia"/>
                <w:sz w:val="18"/>
                <w:szCs w:val="18"/>
                <w:lang w:val="en-US" w:eastAsia="zh-CN"/>
              </w:rPr>
            </w:pPr>
            <w:r>
              <w:rPr>
                <w:rFonts w:hint="eastAsia"/>
                <w:sz w:val="18"/>
                <w:szCs w:val="18"/>
                <w:lang w:val="en-US" w:eastAsia="zh-CN"/>
              </w:rPr>
              <w:t>106</w:t>
            </w:r>
          </w:p>
        </w:tc>
        <w:tc>
          <w:tcPr>
            <w:tcW w:w="2086" w:type="dxa"/>
            <w:shd w:val="clear" w:color="auto" w:fill="auto"/>
            <w:vAlign w:val="center"/>
          </w:tcPr>
          <w:p>
            <w:pP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2124</w:t>
            </w:r>
          </w:p>
        </w:tc>
      </w:tr>
    </w:tbl>
    <w:p>
      <w:pPr>
        <w:rPr>
          <w:rFonts w:asciiTheme="majorEastAsia" w:hAnsiTheme="majorEastAsia" w:eastAsiaTheme="majorEastAsia"/>
        </w:rPr>
      </w:pPr>
    </w:p>
    <w:p>
      <w:pPr>
        <w:rPr>
          <w:rFonts w:asciiTheme="majorEastAsia" w:hAnsiTheme="majorEastAsia" w:eastAsiaTheme="majorEastAsia"/>
        </w:rPr>
      </w:pPr>
      <w:r>
        <w:rPr>
          <w:rFonts w:hint="eastAsia" w:asciiTheme="majorEastAsia" w:hAnsiTheme="majorEastAsia" w:eastAsiaTheme="majorEastAsia"/>
        </w:rPr>
        <w:t>2.1学分制导图</w:t>
      </w:r>
    </w:p>
    <w:p>
      <w:pPr>
        <w:jc w:val="center"/>
        <w:rPr>
          <w:rFonts w:ascii="宋体" w:hAnsi="宋体"/>
        </w:rPr>
      </w:pPr>
      <w:r>
        <w:rPr>
          <w:rFonts w:hint="eastAsia" w:ascii="宋体" w:hAnsi="宋体"/>
        </w:rPr>
        <w:t>学分制导图</w:t>
      </w:r>
    </w:p>
    <w:p>
      <w:pPr>
        <w:spacing w:line="480" w:lineRule="exact"/>
        <w:ind w:firstLine="420" w:firstLineChars="200"/>
        <w:rPr>
          <w:rFonts w:ascii="宋体" w:hAnsi="宋体"/>
        </w:rPr>
      </w:pPr>
    </w:p>
    <w:tbl>
      <w:tblPr>
        <w:tblStyle w:val="1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82"/>
        <w:gridCol w:w="1190"/>
        <w:gridCol w:w="1276"/>
        <w:gridCol w:w="1275"/>
        <w:gridCol w:w="149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384" w:type="dxa"/>
            <w:tcBorders>
              <w:tl2br w:val="single" w:color="auto" w:sz="4" w:space="0"/>
            </w:tcBorders>
            <w:shd w:val="clear" w:color="auto" w:fill="auto"/>
            <w:vAlign w:val="center"/>
          </w:tcPr>
          <w:p>
            <w:pPr>
              <w:ind w:left="479" w:leftChars="228"/>
              <w:jc w:val="center"/>
              <w:rPr>
                <w:rFonts w:ascii="宋体" w:hAnsi="宋体" w:cs="宋体"/>
                <w:bCs/>
                <w:szCs w:val="21"/>
              </w:rPr>
            </w:pPr>
            <w:r>
              <w:rPr>
                <w:rFonts w:hint="eastAsia" w:ascii="宋体" w:hAnsi="宋体" w:cs="宋体"/>
                <w:bCs/>
                <w:szCs w:val="21"/>
              </w:rPr>
              <w:t>学期</w:t>
            </w:r>
          </w:p>
          <w:p>
            <w:pPr>
              <w:rPr>
                <w:rFonts w:ascii="宋体" w:hAnsi="宋体" w:cs="宋体"/>
                <w:bCs/>
                <w:szCs w:val="21"/>
              </w:rPr>
            </w:pPr>
            <w:r>
              <w:rPr>
                <w:rFonts w:hint="eastAsia" w:ascii="宋体" w:hAnsi="宋体" w:cs="宋体"/>
                <w:bCs/>
                <w:szCs w:val="21"/>
              </w:rPr>
              <w:t>课程类别</w:t>
            </w:r>
          </w:p>
        </w:tc>
        <w:tc>
          <w:tcPr>
            <w:tcW w:w="1282" w:type="dxa"/>
            <w:shd w:val="clear" w:color="auto" w:fill="auto"/>
            <w:vAlign w:val="center"/>
          </w:tcPr>
          <w:p>
            <w:pPr>
              <w:jc w:val="center"/>
              <w:rPr>
                <w:rFonts w:ascii="宋体" w:hAnsi="宋体" w:cs="宋体"/>
                <w:bCs/>
                <w:szCs w:val="21"/>
              </w:rPr>
            </w:pPr>
            <w:r>
              <w:rPr>
                <w:rFonts w:hint="eastAsia" w:ascii="宋体" w:hAnsi="宋体" w:cs="宋体"/>
                <w:bCs/>
                <w:szCs w:val="21"/>
              </w:rPr>
              <w:t>第一学期</w:t>
            </w:r>
          </w:p>
        </w:tc>
        <w:tc>
          <w:tcPr>
            <w:tcW w:w="1190" w:type="dxa"/>
            <w:shd w:val="clear" w:color="auto" w:fill="auto"/>
            <w:vAlign w:val="center"/>
          </w:tcPr>
          <w:p>
            <w:pPr>
              <w:jc w:val="center"/>
              <w:rPr>
                <w:rFonts w:ascii="宋体" w:hAnsi="宋体" w:cs="宋体"/>
                <w:bCs/>
                <w:szCs w:val="21"/>
              </w:rPr>
            </w:pPr>
            <w:r>
              <w:rPr>
                <w:rFonts w:hint="eastAsia" w:ascii="宋体" w:hAnsi="宋体" w:cs="宋体"/>
                <w:bCs/>
                <w:szCs w:val="21"/>
              </w:rPr>
              <w:t>第二学期</w:t>
            </w:r>
          </w:p>
        </w:tc>
        <w:tc>
          <w:tcPr>
            <w:tcW w:w="1276" w:type="dxa"/>
            <w:shd w:val="clear" w:color="auto" w:fill="auto"/>
            <w:vAlign w:val="center"/>
          </w:tcPr>
          <w:p>
            <w:pPr>
              <w:jc w:val="center"/>
              <w:rPr>
                <w:rFonts w:ascii="宋体" w:hAnsi="宋体" w:cs="宋体"/>
                <w:bCs/>
                <w:szCs w:val="21"/>
              </w:rPr>
            </w:pPr>
            <w:r>
              <w:rPr>
                <w:rFonts w:hint="eastAsia" w:ascii="宋体" w:hAnsi="宋体" w:cs="宋体"/>
                <w:bCs/>
                <w:szCs w:val="21"/>
              </w:rPr>
              <w:t>第三学期</w:t>
            </w:r>
          </w:p>
        </w:tc>
        <w:tc>
          <w:tcPr>
            <w:tcW w:w="1275" w:type="dxa"/>
            <w:shd w:val="clear" w:color="auto" w:fill="auto"/>
            <w:vAlign w:val="center"/>
          </w:tcPr>
          <w:p>
            <w:pPr>
              <w:jc w:val="center"/>
              <w:rPr>
                <w:rFonts w:ascii="宋体" w:hAnsi="宋体" w:cs="宋体"/>
                <w:bCs/>
                <w:szCs w:val="21"/>
              </w:rPr>
            </w:pPr>
            <w:r>
              <w:rPr>
                <w:rFonts w:hint="eastAsia" w:ascii="宋体" w:hAnsi="宋体" w:cs="宋体"/>
                <w:bCs/>
                <w:szCs w:val="21"/>
              </w:rPr>
              <w:t>第四学期</w:t>
            </w:r>
          </w:p>
        </w:tc>
        <w:tc>
          <w:tcPr>
            <w:tcW w:w="1498" w:type="dxa"/>
            <w:shd w:val="clear" w:color="auto" w:fill="auto"/>
            <w:vAlign w:val="center"/>
          </w:tcPr>
          <w:p>
            <w:pPr>
              <w:jc w:val="center"/>
              <w:rPr>
                <w:rFonts w:ascii="宋体" w:hAnsi="宋体" w:cs="宋体"/>
                <w:bCs/>
                <w:szCs w:val="21"/>
              </w:rPr>
            </w:pPr>
            <w:r>
              <w:rPr>
                <w:rFonts w:hint="eastAsia" w:ascii="宋体" w:hAnsi="宋体" w:cs="宋体"/>
                <w:bCs/>
                <w:szCs w:val="21"/>
              </w:rPr>
              <w:t>第五学期</w:t>
            </w:r>
          </w:p>
        </w:tc>
        <w:tc>
          <w:tcPr>
            <w:tcW w:w="992" w:type="dxa"/>
            <w:shd w:val="clear" w:color="auto" w:fill="auto"/>
            <w:vAlign w:val="center"/>
          </w:tcPr>
          <w:p>
            <w:pPr>
              <w:jc w:val="center"/>
              <w:rPr>
                <w:rFonts w:ascii="宋体" w:hAnsi="宋体" w:cs="宋体"/>
                <w:bCs/>
                <w:szCs w:val="21"/>
              </w:rPr>
            </w:pPr>
            <w:r>
              <w:rPr>
                <w:rFonts w:hint="eastAsia" w:ascii="宋体" w:hAnsi="宋体" w:cs="宋体"/>
                <w:bCs/>
                <w:szCs w:val="21"/>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1384" w:type="dxa"/>
            <w:shd w:val="clear" w:color="auto" w:fill="auto"/>
            <w:vAlign w:val="center"/>
          </w:tcPr>
          <w:p>
            <w:pPr>
              <w:jc w:val="center"/>
              <w:rPr>
                <w:rFonts w:ascii="宋体" w:hAnsi="宋体" w:cs="宋体"/>
                <w:bCs/>
                <w:szCs w:val="21"/>
              </w:rPr>
            </w:pPr>
            <w:r>
              <w:rPr>
                <w:rFonts w:hint="eastAsia" w:ascii="宋体" w:hAnsi="宋体" w:cs="宋体"/>
                <w:bCs/>
                <w:szCs w:val="21"/>
              </w:rPr>
              <w:t>通识课程</w:t>
            </w:r>
          </w:p>
          <w:p>
            <w:pPr>
              <w:jc w:val="center"/>
              <w:rPr>
                <w:rFonts w:ascii="宋体" w:hAnsi="宋体" w:cs="宋体"/>
                <w:bCs/>
                <w:szCs w:val="21"/>
              </w:rPr>
            </w:pPr>
            <w:r>
              <w:rPr>
                <w:rFonts w:hint="eastAsia" w:ascii="宋体" w:hAnsi="宋体" w:cs="宋体"/>
                <w:bCs/>
                <w:szCs w:val="21"/>
              </w:rPr>
              <w:t>（25%）</w:t>
            </w:r>
          </w:p>
        </w:tc>
        <w:tc>
          <w:tcPr>
            <w:tcW w:w="1282" w:type="dxa"/>
            <w:shd w:val="clear" w:color="auto" w:fill="auto"/>
            <w:vAlign w:val="center"/>
          </w:tcPr>
          <w:p>
            <w:pPr>
              <w:rPr>
                <w:rFonts w:ascii="宋体" w:hAnsi="宋体" w:cs="宋体"/>
                <w:bCs/>
                <w:szCs w:val="21"/>
              </w:rPr>
            </w:pPr>
            <w:r>
              <w:rPr>
                <w:rFonts w:ascii="宋体" w:hAnsi="宋体" w:cs="宋体"/>
                <w:bCs/>
                <w:szCs w:val="21"/>
              </w:rPr>
              <w:t>军训、</w:t>
            </w:r>
            <w:r>
              <w:rPr>
                <w:rFonts w:hint="eastAsia" w:ascii="宋体" w:hAnsi="宋体" w:cs="宋体"/>
                <w:bCs/>
                <w:szCs w:val="21"/>
              </w:rPr>
              <w:t>体育、思想道德修养与法律基础、大学英语、计算机应用基础、高等数学、形势与政策、大学生心理健康、企业运营管理</w:t>
            </w:r>
          </w:p>
        </w:tc>
        <w:tc>
          <w:tcPr>
            <w:tcW w:w="1190" w:type="dxa"/>
            <w:shd w:val="clear" w:color="auto" w:fill="auto"/>
            <w:vAlign w:val="center"/>
          </w:tcPr>
          <w:p>
            <w:pPr>
              <w:rPr>
                <w:rFonts w:ascii="宋体" w:hAnsi="宋体" w:cs="宋体"/>
                <w:bCs/>
                <w:szCs w:val="21"/>
              </w:rPr>
            </w:pPr>
            <w:r>
              <w:rPr>
                <w:rFonts w:ascii="宋体" w:hAnsi="宋体" w:cs="宋体"/>
                <w:bCs/>
                <w:szCs w:val="21"/>
              </w:rPr>
              <w:t>体育、</w:t>
            </w:r>
            <w:r>
              <w:rPr>
                <w:rFonts w:hint="eastAsia" w:ascii="宋体" w:hAnsi="宋体" w:cs="宋体"/>
                <w:bCs/>
                <w:szCs w:val="21"/>
              </w:rPr>
              <w:t>思想道德修养与法律基础、就业指导、形势与政策、大学生心理健康、创新创业理论及方法、图形图像处理</w:t>
            </w:r>
          </w:p>
        </w:tc>
        <w:tc>
          <w:tcPr>
            <w:tcW w:w="1276" w:type="dxa"/>
            <w:shd w:val="clear" w:color="auto" w:fill="auto"/>
            <w:vAlign w:val="center"/>
          </w:tcPr>
          <w:p>
            <w:pPr>
              <w:rPr>
                <w:rFonts w:ascii="宋体" w:hAnsi="宋体" w:cs="宋体"/>
                <w:bCs/>
                <w:szCs w:val="21"/>
              </w:rPr>
            </w:pPr>
            <w:r>
              <w:rPr>
                <w:rFonts w:hint="eastAsia" w:ascii="宋体" w:hAnsi="宋体" w:cs="宋体"/>
                <w:bCs/>
                <w:szCs w:val="21"/>
              </w:rPr>
              <w:t>毛泽东思想和中国特色社会主义理论概论、就业指导、形势与政策、大学生心理健康、创新创业实践、信息安全基础</w:t>
            </w:r>
          </w:p>
        </w:tc>
        <w:tc>
          <w:tcPr>
            <w:tcW w:w="1275" w:type="dxa"/>
            <w:shd w:val="clear" w:color="auto" w:fill="auto"/>
            <w:vAlign w:val="center"/>
          </w:tcPr>
          <w:p>
            <w:pPr>
              <w:rPr>
                <w:rFonts w:ascii="宋体" w:hAnsi="宋体" w:cs="宋体"/>
                <w:bCs/>
                <w:szCs w:val="21"/>
              </w:rPr>
            </w:pPr>
            <w:r>
              <w:rPr>
                <w:rFonts w:hint="eastAsia" w:ascii="宋体" w:hAnsi="宋体" w:cs="宋体"/>
                <w:bCs/>
                <w:szCs w:val="21"/>
              </w:rPr>
              <w:t>毛泽东思想和中国特色社会主义理论概论、形势与政策、大学生心理健康</w:t>
            </w:r>
          </w:p>
        </w:tc>
        <w:tc>
          <w:tcPr>
            <w:tcW w:w="1498" w:type="dxa"/>
            <w:shd w:val="clear" w:color="auto" w:fill="auto"/>
            <w:vAlign w:val="center"/>
          </w:tcPr>
          <w:p>
            <w:pPr>
              <w:rPr>
                <w:rFonts w:ascii="宋体" w:hAnsi="宋体" w:cs="宋体"/>
                <w:bCs/>
                <w:szCs w:val="21"/>
              </w:rPr>
            </w:pPr>
            <w:r>
              <w:rPr>
                <w:rFonts w:hint="eastAsia" w:ascii="宋体" w:hAnsi="宋体" w:cs="宋体"/>
                <w:bCs/>
                <w:szCs w:val="21"/>
              </w:rPr>
              <w:t>第二课堂活动</w:t>
            </w:r>
          </w:p>
        </w:tc>
        <w:tc>
          <w:tcPr>
            <w:tcW w:w="992" w:type="dxa"/>
            <w:shd w:val="clear" w:color="auto" w:fill="auto"/>
            <w:vAlign w:val="center"/>
          </w:tcPr>
          <w:p>
            <w:pPr>
              <w:rPr>
                <w:rFonts w:ascii="宋体" w:hAnsi="宋体" w:cs="宋体"/>
                <w:bCs/>
                <w:szCs w:val="21"/>
              </w:rPr>
            </w:pPr>
            <w:r>
              <w:rPr>
                <w:rFonts w:hint="eastAsia" w:ascii="宋体" w:hAnsi="宋体" w:cs="宋体"/>
                <w:bCs/>
                <w:szCs w:val="21"/>
              </w:rPr>
              <w:t>创新创业实践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1384" w:type="dxa"/>
            <w:shd w:val="clear" w:color="auto" w:fill="auto"/>
            <w:vAlign w:val="center"/>
          </w:tcPr>
          <w:p>
            <w:pPr>
              <w:jc w:val="center"/>
              <w:rPr>
                <w:rFonts w:ascii="宋体" w:hAnsi="宋体" w:cs="宋体"/>
                <w:bCs/>
                <w:szCs w:val="21"/>
              </w:rPr>
            </w:pPr>
            <w:r>
              <w:rPr>
                <w:rFonts w:hint="eastAsia" w:ascii="宋体" w:hAnsi="宋体" w:cs="宋体"/>
                <w:bCs/>
                <w:szCs w:val="21"/>
              </w:rPr>
              <w:t>专业课程（42%）</w:t>
            </w:r>
          </w:p>
        </w:tc>
        <w:tc>
          <w:tcPr>
            <w:tcW w:w="1282" w:type="dxa"/>
            <w:shd w:val="clear" w:color="auto" w:fill="auto"/>
            <w:vAlign w:val="center"/>
          </w:tcPr>
          <w:p>
            <w:pPr>
              <w:rPr>
                <w:rFonts w:ascii="宋体" w:hAnsi="宋体" w:cs="宋体"/>
                <w:bCs/>
                <w:szCs w:val="21"/>
              </w:rPr>
            </w:pPr>
            <w:r>
              <w:rPr>
                <w:rFonts w:ascii="宋体" w:hAnsi="宋体" w:cs="宋体"/>
                <w:bCs/>
                <w:szCs w:val="21"/>
              </w:rPr>
              <w:t>测量技术基础、</w:t>
            </w:r>
          </w:p>
        </w:tc>
        <w:tc>
          <w:tcPr>
            <w:tcW w:w="1190" w:type="dxa"/>
            <w:shd w:val="clear" w:color="auto" w:fill="auto"/>
            <w:vAlign w:val="center"/>
          </w:tcPr>
          <w:p>
            <w:pPr>
              <w:rPr>
                <w:rFonts w:ascii="宋体" w:hAnsi="宋体" w:cs="宋体"/>
                <w:bCs/>
                <w:szCs w:val="21"/>
              </w:rPr>
            </w:pPr>
            <w:r>
              <w:rPr>
                <w:rFonts w:ascii="宋体" w:hAnsi="宋体" w:cs="宋体"/>
                <w:bCs/>
                <w:szCs w:val="21"/>
              </w:rPr>
              <w:t>数字化测图、数字化测图实习、</w:t>
            </w:r>
            <w:r>
              <w:rPr>
                <w:rFonts w:hint="eastAsia" w:ascii="宋体" w:hAnsi="宋体" w:cs="宋体"/>
                <w:bCs/>
                <w:szCs w:val="21"/>
              </w:rPr>
              <w:t>AutoCAD数字测绘、</w:t>
            </w:r>
          </w:p>
        </w:tc>
        <w:tc>
          <w:tcPr>
            <w:tcW w:w="1276" w:type="dxa"/>
            <w:shd w:val="clear" w:color="auto" w:fill="auto"/>
            <w:vAlign w:val="center"/>
          </w:tcPr>
          <w:p>
            <w:pPr>
              <w:rPr>
                <w:rFonts w:ascii="宋体" w:hAnsi="宋体" w:cs="宋体"/>
                <w:bCs/>
                <w:szCs w:val="21"/>
              </w:rPr>
            </w:pPr>
            <w:r>
              <w:rPr>
                <w:rFonts w:ascii="宋体" w:hAnsi="宋体" w:cs="宋体"/>
                <w:bCs/>
                <w:szCs w:val="21"/>
              </w:rPr>
              <w:t>摄影测量、</w:t>
            </w:r>
            <w:r>
              <w:rPr>
                <w:rFonts w:hint="eastAsia" w:ascii="宋体" w:hAnsi="宋体" w:cs="宋体"/>
                <w:bCs/>
                <w:szCs w:val="21"/>
              </w:rPr>
              <w:t>GNSS测量技术、GIS技术及应用</w:t>
            </w:r>
          </w:p>
        </w:tc>
        <w:tc>
          <w:tcPr>
            <w:tcW w:w="1275" w:type="dxa"/>
            <w:shd w:val="clear" w:color="auto" w:fill="auto"/>
            <w:vAlign w:val="center"/>
          </w:tcPr>
          <w:p>
            <w:pPr>
              <w:rPr>
                <w:rFonts w:ascii="宋体" w:hAnsi="宋体" w:cs="宋体"/>
                <w:bCs/>
                <w:szCs w:val="21"/>
              </w:rPr>
            </w:pPr>
            <w:r>
              <w:rPr>
                <w:rFonts w:hint="eastAsia" w:ascii="宋体" w:hAnsi="宋体" w:cs="宋体"/>
                <w:bCs/>
                <w:szCs w:val="21"/>
              </w:rPr>
              <w:t>工程测量、工程测量实习、测量平差、遥感技术及应用、不动产测量、海洋测绘概论</w:t>
            </w:r>
          </w:p>
        </w:tc>
        <w:tc>
          <w:tcPr>
            <w:tcW w:w="1498" w:type="dxa"/>
            <w:shd w:val="clear" w:color="auto" w:fill="auto"/>
            <w:vAlign w:val="center"/>
          </w:tcPr>
          <w:p>
            <w:pPr>
              <w:ind w:firstLine="420" w:firstLineChars="200"/>
              <w:jc w:val="center"/>
              <w:rPr>
                <w:rFonts w:ascii="宋体" w:hAnsi="宋体" w:cs="宋体"/>
                <w:bCs/>
                <w:szCs w:val="21"/>
              </w:rPr>
            </w:pPr>
          </w:p>
        </w:tc>
        <w:tc>
          <w:tcPr>
            <w:tcW w:w="992" w:type="dxa"/>
            <w:shd w:val="clear" w:color="auto" w:fill="auto"/>
            <w:vAlign w:val="center"/>
          </w:tcPr>
          <w:p>
            <w:pPr>
              <w:ind w:firstLine="420" w:firstLineChars="200"/>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1384" w:type="dxa"/>
            <w:shd w:val="clear" w:color="auto" w:fill="auto"/>
            <w:vAlign w:val="center"/>
          </w:tcPr>
          <w:p>
            <w:pPr>
              <w:jc w:val="center"/>
              <w:rPr>
                <w:rFonts w:ascii="宋体" w:hAnsi="宋体" w:cs="宋体"/>
                <w:bCs/>
                <w:szCs w:val="21"/>
              </w:rPr>
            </w:pPr>
            <w:r>
              <w:rPr>
                <w:rFonts w:hint="eastAsia" w:ascii="宋体" w:hAnsi="宋体" w:cs="宋体"/>
                <w:bCs/>
                <w:szCs w:val="21"/>
              </w:rPr>
              <w:t>专业技术方向课程（25%）</w:t>
            </w:r>
          </w:p>
        </w:tc>
        <w:tc>
          <w:tcPr>
            <w:tcW w:w="1282" w:type="dxa"/>
            <w:shd w:val="clear" w:color="auto" w:fill="auto"/>
            <w:vAlign w:val="center"/>
          </w:tcPr>
          <w:p>
            <w:pPr>
              <w:ind w:firstLine="420" w:firstLineChars="200"/>
              <w:jc w:val="center"/>
              <w:rPr>
                <w:rFonts w:ascii="宋体" w:hAnsi="宋体" w:cs="宋体"/>
                <w:bCs/>
                <w:szCs w:val="21"/>
              </w:rPr>
            </w:pPr>
          </w:p>
        </w:tc>
        <w:tc>
          <w:tcPr>
            <w:tcW w:w="1190" w:type="dxa"/>
            <w:shd w:val="clear" w:color="auto" w:fill="auto"/>
            <w:vAlign w:val="center"/>
          </w:tcPr>
          <w:p>
            <w:pPr>
              <w:ind w:firstLine="420" w:firstLineChars="200"/>
              <w:jc w:val="center"/>
              <w:rPr>
                <w:rFonts w:ascii="宋体" w:hAnsi="宋体" w:cs="宋体"/>
                <w:bCs/>
                <w:szCs w:val="21"/>
              </w:rPr>
            </w:pPr>
          </w:p>
        </w:tc>
        <w:tc>
          <w:tcPr>
            <w:tcW w:w="1276" w:type="dxa"/>
            <w:shd w:val="clear" w:color="auto" w:fill="auto"/>
            <w:vAlign w:val="center"/>
          </w:tcPr>
          <w:p>
            <w:pPr>
              <w:ind w:firstLine="420" w:firstLineChars="200"/>
              <w:jc w:val="center"/>
              <w:rPr>
                <w:rFonts w:ascii="宋体" w:hAnsi="宋体" w:cs="宋体"/>
                <w:bCs/>
                <w:szCs w:val="21"/>
              </w:rPr>
            </w:pPr>
          </w:p>
        </w:tc>
        <w:tc>
          <w:tcPr>
            <w:tcW w:w="1275" w:type="dxa"/>
            <w:shd w:val="clear" w:color="auto" w:fill="auto"/>
            <w:vAlign w:val="center"/>
          </w:tcPr>
          <w:p>
            <w:pPr>
              <w:ind w:firstLine="420" w:firstLineChars="200"/>
              <w:jc w:val="center"/>
              <w:rPr>
                <w:rFonts w:ascii="宋体" w:hAnsi="宋体" w:cs="宋体"/>
                <w:bCs/>
                <w:szCs w:val="21"/>
              </w:rPr>
            </w:pPr>
          </w:p>
        </w:tc>
        <w:tc>
          <w:tcPr>
            <w:tcW w:w="1498" w:type="dxa"/>
            <w:shd w:val="clear" w:color="auto" w:fill="auto"/>
            <w:vAlign w:val="center"/>
          </w:tcPr>
          <w:p>
            <w:pPr>
              <w:rPr>
                <w:rFonts w:ascii="宋体" w:hAnsi="宋体" w:cs="宋体"/>
                <w:bCs/>
                <w:szCs w:val="21"/>
              </w:rPr>
            </w:pPr>
            <w:r>
              <w:rPr>
                <w:rFonts w:hint="eastAsia" w:ascii="宋体" w:hAnsi="宋体" w:cs="宋体"/>
                <w:bCs/>
                <w:szCs w:val="21"/>
              </w:rPr>
              <w:t>精密工程测量//海洋测量技术//LIDAR测量与数据处理</w:t>
            </w:r>
          </w:p>
        </w:tc>
        <w:tc>
          <w:tcPr>
            <w:tcW w:w="992" w:type="dxa"/>
            <w:shd w:val="clear" w:color="auto" w:fill="auto"/>
            <w:vAlign w:val="center"/>
          </w:tcPr>
          <w:p>
            <w:pPr>
              <w:rPr>
                <w:rFonts w:ascii="宋体" w:hAnsi="宋体" w:cs="宋体"/>
                <w:bCs/>
                <w:szCs w:val="21"/>
              </w:rPr>
            </w:pPr>
            <w:r>
              <w:rPr>
                <w:rFonts w:hint="eastAsia" w:ascii="宋体" w:hAnsi="宋体" w:cs="宋体"/>
                <w:bCs/>
                <w:szCs w:val="21"/>
              </w:rPr>
              <w:t>毕业综合实训和生产(顶岗)实习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1384" w:type="dxa"/>
            <w:shd w:val="clear" w:color="auto" w:fill="auto"/>
            <w:vAlign w:val="center"/>
          </w:tcPr>
          <w:p>
            <w:pPr>
              <w:jc w:val="center"/>
              <w:rPr>
                <w:rFonts w:ascii="宋体" w:hAnsi="宋体" w:cs="宋体"/>
                <w:bCs/>
                <w:szCs w:val="21"/>
              </w:rPr>
            </w:pPr>
            <w:r>
              <w:rPr>
                <w:rFonts w:hint="eastAsia" w:ascii="宋体" w:hAnsi="宋体" w:cs="宋体"/>
                <w:bCs/>
                <w:szCs w:val="21"/>
              </w:rPr>
              <w:t>特色课程（含创新创业、素质拓展及专业特色课程）（8%）</w:t>
            </w:r>
          </w:p>
        </w:tc>
        <w:tc>
          <w:tcPr>
            <w:tcW w:w="1282" w:type="dxa"/>
            <w:shd w:val="clear" w:color="auto" w:fill="auto"/>
            <w:vAlign w:val="center"/>
          </w:tcPr>
          <w:p>
            <w:pPr>
              <w:ind w:firstLine="420" w:firstLineChars="200"/>
              <w:jc w:val="center"/>
              <w:rPr>
                <w:rFonts w:ascii="宋体" w:hAnsi="宋体" w:cs="宋体"/>
                <w:bCs/>
                <w:szCs w:val="21"/>
              </w:rPr>
            </w:pPr>
          </w:p>
        </w:tc>
        <w:tc>
          <w:tcPr>
            <w:tcW w:w="1190" w:type="dxa"/>
            <w:shd w:val="clear" w:color="auto" w:fill="auto"/>
            <w:vAlign w:val="center"/>
          </w:tcPr>
          <w:p>
            <w:pPr>
              <w:rPr>
                <w:rFonts w:ascii="宋体" w:hAnsi="宋体" w:cs="宋体"/>
                <w:bCs/>
                <w:szCs w:val="21"/>
              </w:rPr>
            </w:pPr>
            <w:r>
              <w:rPr>
                <w:rFonts w:ascii="宋体" w:hAnsi="宋体" w:cs="宋体"/>
                <w:bCs/>
                <w:szCs w:val="21"/>
              </w:rPr>
              <w:t>摄影技术与艺术、</w:t>
            </w:r>
            <w:r>
              <w:rPr>
                <w:rFonts w:hint="eastAsia" w:ascii="宋体" w:hAnsi="宋体" w:cs="宋体"/>
                <w:bCs/>
                <w:szCs w:val="21"/>
              </w:rPr>
              <w:t>VB语言程序设计</w:t>
            </w:r>
          </w:p>
        </w:tc>
        <w:tc>
          <w:tcPr>
            <w:tcW w:w="1276" w:type="dxa"/>
            <w:shd w:val="clear" w:color="auto" w:fill="auto"/>
            <w:vAlign w:val="center"/>
          </w:tcPr>
          <w:p>
            <w:pPr>
              <w:rPr>
                <w:rFonts w:ascii="宋体" w:hAnsi="宋体" w:cs="宋体"/>
                <w:bCs/>
                <w:szCs w:val="21"/>
              </w:rPr>
            </w:pPr>
            <w:r>
              <w:rPr>
                <w:rFonts w:ascii="宋体" w:hAnsi="宋体" w:cs="宋体"/>
                <w:bCs/>
                <w:szCs w:val="21"/>
              </w:rPr>
              <w:t>测绘技术深度训练</w:t>
            </w:r>
          </w:p>
        </w:tc>
        <w:tc>
          <w:tcPr>
            <w:tcW w:w="1275" w:type="dxa"/>
            <w:shd w:val="clear" w:color="auto" w:fill="auto"/>
            <w:vAlign w:val="center"/>
          </w:tcPr>
          <w:p>
            <w:pPr>
              <w:ind w:firstLine="420" w:firstLineChars="200"/>
              <w:jc w:val="center"/>
              <w:rPr>
                <w:rFonts w:ascii="宋体" w:hAnsi="宋体" w:cs="宋体"/>
                <w:bCs/>
                <w:szCs w:val="21"/>
              </w:rPr>
            </w:pPr>
          </w:p>
        </w:tc>
        <w:tc>
          <w:tcPr>
            <w:tcW w:w="1498" w:type="dxa"/>
            <w:shd w:val="clear" w:color="auto" w:fill="auto"/>
            <w:vAlign w:val="center"/>
          </w:tcPr>
          <w:p>
            <w:pPr>
              <w:ind w:firstLine="420" w:firstLineChars="200"/>
              <w:jc w:val="center"/>
              <w:rPr>
                <w:rFonts w:ascii="宋体" w:hAnsi="宋体" w:cs="宋体"/>
                <w:bCs/>
                <w:szCs w:val="21"/>
              </w:rPr>
            </w:pPr>
          </w:p>
        </w:tc>
        <w:tc>
          <w:tcPr>
            <w:tcW w:w="992" w:type="dxa"/>
            <w:shd w:val="clear" w:color="auto" w:fill="auto"/>
            <w:vAlign w:val="center"/>
          </w:tcPr>
          <w:p>
            <w:pPr>
              <w:ind w:firstLine="420" w:firstLineChars="200"/>
              <w:jc w:val="center"/>
              <w:rPr>
                <w:rFonts w:ascii="宋体" w:hAnsi="宋体" w:cs="宋体"/>
                <w:bCs/>
                <w:szCs w:val="21"/>
              </w:rPr>
            </w:pPr>
          </w:p>
        </w:tc>
      </w:tr>
    </w:tbl>
    <w:p>
      <w:pPr>
        <w:spacing w:before="156" w:beforeLines="50" w:after="156" w:afterLines="50"/>
        <w:rPr>
          <w:rFonts w:asciiTheme="majorEastAsia" w:hAnsiTheme="majorEastAsia" w:eastAsiaTheme="majorEastAsia"/>
        </w:rPr>
      </w:pPr>
    </w:p>
    <w:p>
      <w:pPr>
        <w:spacing w:before="156" w:beforeLines="50" w:after="156" w:afterLines="50"/>
        <w:rPr>
          <w:rFonts w:asciiTheme="majorEastAsia" w:hAnsiTheme="majorEastAsia" w:eastAsiaTheme="majorEastAsia"/>
        </w:rPr>
      </w:pPr>
      <w:r>
        <w:rPr>
          <w:rFonts w:hint="eastAsia" w:asciiTheme="majorEastAsia" w:hAnsiTheme="majorEastAsia" w:eastAsiaTheme="majorEastAsia"/>
        </w:rPr>
        <w:t>2.2课程设置及编号</w:t>
      </w:r>
    </w:p>
    <w:p>
      <w:pPr>
        <w:ind w:firstLine="3150" w:firstLineChars="1500"/>
        <w:rPr>
          <w:rFonts w:hint="eastAsia" w:ascii="宋体" w:hAnsi="宋体"/>
        </w:rPr>
      </w:pPr>
      <w:r>
        <w:rPr>
          <w:rFonts w:hint="eastAsia" w:ascii="宋体" w:hAnsi="宋体"/>
        </w:rPr>
        <w:t>课程设置</w:t>
      </w:r>
    </w:p>
    <w:p>
      <w:pPr>
        <w:jc w:val="center"/>
        <w:rPr>
          <w:rFonts w:hint="eastAsia" w:ascii="宋体" w:hAnsi="宋体" w:eastAsiaTheme="minorEastAsia"/>
          <w:lang w:eastAsia="zh-CN"/>
        </w:rPr>
      </w:pPr>
      <w:r>
        <w:rPr>
          <w:rFonts w:hint="eastAsia" w:ascii="宋体" w:hAnsi="宋体" w:eastAsiaTheme="minorEastAsia"/>
          <w:lang w:eastAsia="zh-CN"/>
        </w:rPr>
        <w:drawing>
          <wp:inline distT="0" distB="0" distL="114300" distR="114300">
            <wp:extent cx="4431030" cy="2661285"/>
            <wp:effectExtent l="0" t="0" r="7620" b="5715"/>
            <wp:docPr id="2" name="图片 2" descr="广通教学点  附件12：2020级工程测量技术专业教学计划表（3年制）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广通教学点  附件12：2020级工程测量技术专业教学计划表（3年制）_页面_1"/>
                    <pic:cNvPicPr>
                      <a:picLocks noChangeAspect="1"/>
                    </pic:cNvPicPr>
                  </pic:nvPicPr>
                  <pic:blipFill>
                    <a:blip r:embed="rId8"/>
                    <a:srcRect l="16203" t="4924" r="17203" b="66792"/>
                    <a:stretch>
                      <a:fillRect/>
                    </a:stretch>
                  </pic:blipFill>
                  <pic:spPr>
                    <a:xfrm>
                      <a:off x="0" y="0"/>
                      <a:ext cx="4431030" cy="2661285"/>
                    </a:xfrm>
                    <a:prstGeom prst="rect">
                      <a:avLst/>
                    </a:prstGeom>
                  </pic:spPr>
                </pic:pic>
              </a:graphicData>
            </a:graphic>
          </wp:inline>
        </w:drawing>
      </w:r>
    </w:p>
    <w:p>
      <w:pPr>
        <w:jc w:val="center"/>
        <w:rPr>
          <w:rFonts w:hint="eastAsia" w:ascii="宋体" w:hAnsi="宋体" w:eastAsiaTheme="minorEastAsia"/>
          <w:lang w:eastAsia="zh-CN"/>
        </w:rPr>
      </w:pPr>
      <w:r>
        <w:rPr>
          <w:rFonts w:hint="eastAsia" w:ascii="宋体" w:hAnsi="宋体" w:eastAsiaTheme="minorEastAsia"/>
          <w:lang w:eastAsia="zh-CN"/>
        </w:rPr>
        <w:drawing>
          <wp:inline distT="0" distB="0" distL="114300" distR="114300">
            <wp:extent cx="5297805" cy="4903470"/>
            <wp:effectExtent l="0" t="0" r="17145" b="11430"/>
            <wp:docPr id="1" name="图片 1" descr="广通教学点  附件12：2020级工程测量技术专业教学计划表（3年制）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广通教学点  附件12：2020级工程测量技术专业教学计划表（3年制）_页面_1"/>
                    <pic:cNvPicPr>
                      <a:picLocks noChangeAspect="1"/>
                    </pic:cNvPicPr>
                  </pic:nvPicPr>
                  <pic:blipFill>
                    <a:blip r:embed="rId8"/>
                    <a:srcRect l="16203" t="32480" r="17203" b="23937"/>
                    <a:stretch>
                      <a:fillRect/>
                    </a:stretch>
                  </pic:blipFill>
                  <pic:spPr>
                    <a:xfrm>
                      <a:off x="0" y="0"/>
                      <a:ext cx="5297805" cy="4903470"/>
                    </a:xfrm>
                    <a:prstGeom prst="rect">
                      <a:avLst/>
                    </a:prstGeom>
                  </pic:spPr>
                </pic:pic>
              </a:graphicData>
            </a:graphic>
          </wp:inline>
        </w:drawing>
      </w:r>
    </w:p>
    <w:p>
      <w:pPr>
        <w:spacing w:line="480" w:lineRule="exact"/>
        <w:ind w:firstLine="1890" w:firstLineChars="900"/>
        <w:rPr>
          <w:rFonts w:ascii="宋体" w:hAnsi="宋体"/>
          <w:szCs w:val="21"/>
        </w:rPr>
      </w:pPr>
      <w:r>
        <w:rPr>
          <w:rFonts w:hint="eastAsia" w:ascii="宋体" w:hAnsi="宋体"/>
          <w:szCs w:val="21"/>
        </w:rPr>
        <w:t>工程测量技术专业课程与学生核心能力关联统计表</w:t>
      </w:r>
    </w:p>
    <w:tbl>
      <w:tblPr>
        <w:tblStyle w:val="14"/>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567"/>
        <w:gridCol w:w="1275"/>
        <w:gridCol w:w="1843"/>
        <w:gridCol w:w="709"/>
        <w:gridCol w:w="709"/>
        <w:gridCol w:w="850"/>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3" w:type="dxa"/>
            <w:vMerge w:val="restart"/>
            <w:shd w:val="clear" w:color="auto" w:fill="auto"/>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序号</w:t>
            </w:r>
          </w:p>
        </w:tc>
        <w:tc>
          <w:tcPr>
            <w:tcW w:w="567" w:type="dxa"/>
            <w:vMerge w:val="restart"/>
            <w:shd w:val="clear" w:color="auto" w:fill="auto"/>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课程性质</w:t>
            </w:r>
          </w:p>
        </w:tc>
        <w:tc>
          <w:tcPr>
            <w:tcW w:w="1275" w:type="dxa"/>
            <w:vMerge w:val="restart"/>
            <w:shd w:val="clear" w:color="auto" w:fill="auto"/>
            <w:vAlign w:val="center"/>
          </w:tcPr>
          <w:p>
            <w:pPr>
              <w:adjustRightInd w:val="0"/>
              <w:snapToGrid w:val="0"/>
              <w:jc w:val="center"/>
              <w:rPr>
                <w:rFonts w:ascii="仿宋" w:hAnsi="仿宋" w:eastAsia="仿宋"/>
                <w:szCs w:val="21"/>
              </w:rPr>
            </w:pPr>
            <w:r>
              <w:rPr>
                <w:rFonts w:hint="eastAsia" w:ascii="仿宋" w:hAnsi="仿宋" w:eastAsia="仿宋"/>
                <w:szCs w:val="21"/>
              </w:rPr>
              <w:t>课程类别</w:t>
            </w:r>
          </w:p>
        </w:tc>
        <w:tc>
          <w:tcPr>
            <w:tcW w:w="1843" w:type="dxa"/>
            <w:vMerge w:val="restart"/>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课程名称</w:t>
            </w:r>
          </w:p>
        </w:tc>
        <w:tc>
          <w:tcPr>
            <w:tcW w:w="4820" w:type="dxa"/>
            <w:gridSpan w:val="6"/>
            <w:shd w:val="clear" w:color="auto" w:fill="auto"/>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3" w:type="dxa"/>
            <w:vMerge w:val="continue"/>
            <w:shd w:val="clear" w:color="auto" w:fill="auto"/>
            <w:noWrap/>
            <w:tcMar>
              <w:left w:w="57" w:type="dxa"/>
              <w:right w:w="57" w:type="dxa"/>
            </w:tcMar>
            <w:vAlign w:val="center"/>
          </w:tcPr>
          <w:p>
            <w:pPr>
              <w:adjustRightInd w:val="0"/>
              <w:snapToGrid w:val="0"/>
              <w:jc w:val="center"/>
              <w:rPr>
                <w:rFonts w:ascii="仿宋" w:hAnsi="仿宋" w:eastAsia="仿宋"/>
                <w:szCs w:val="21"/>
              </w:rPr>
            </w:pPr>
          </w:p>
        </w:tc>
        <w:tc>
          <w:tcPr>
            <w:tcW w:w="567" w:type="dxa"/>
            <w:vMerge w:val="continue"/>
            <w:shd w:val="clear" w:color="auto" w:fill="auto"/>
            <w:noWrap/>
            <w:tcMar>
              <w:left w:w="57" w:type="dxa"/>
              <w:right w:w="57" w:type="dxa"/>
            </w:tcMar>
            <w:vAlign w:val="center"/>
          </w:tcPr>
          <w:p>
            <w:pPr>
              <w:adjustRightInd w:val="0"/>
              <w:snapToGrid w:val="0"/>
              <w:jc w:val="center"/>
              <w:rPr>
                <w:rFonts w:ascii="仿宋" w:hAnsi="仿宋" w:eastAsia="仿宋"/>
                <w:szCs w:val="21"/>
              </w:rPr>
            </w:pPr>
          </w:p>
        </w:tc>
        <w:tc>
          <w:tcPr>
            <w:tcW w:w="1275" w:type="dxa"/>
            <w:vMerge w:val="continue"/>
            <w:shd w:val="clear" w:color="auto" w:fill="auto"/>
            <w:vAlign w:val="center"/>
          </w:tcPr>
          <w:p>
            <w:pPr>
              <w:adjustRightInd w:val="0"/>
              <w:snapToGrid w:val="0"/>
              <w:jc w:val="center"/>
              <w:rPr>
                <w:rFonts w:ascii="仿宋" w:hAnsi="仿宋" w:eastAsia="仿宋"/>
                <w:szCs w:val="21"/>
              </w:rPr>
            </w:pPr>
          </w:p>
        </w:tc>
        <w:tc>
          <w:tcPr>
            <w:tcW w:w="1843" w:type="dxa"/>
            <w:vMerge w:val="continue"/>
            <w:noWrap/>
            <w:tcMar>
              <w:left w:w="57" w:type="dxa"/>
              <w:right w:w="57" w:type="dxa"/>
            </w:tcMar>
            <w:vAlign w:val="center"/>
          </w:tcPr>
          <w:p>
            <w:pPr>
              <w:adjustRightInd w:val="0"/>
              <w:snapToGrid w:val="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能力1</w:t>
            </w:r>
          </w:p>
        </w:tc>
        <w:tc>
          <w:tcPr>
            <w:tcW w:w="709" w:type="dxa"/>
            <w:shd w:val="clear" w:color="auto" w:fill="auto"/>
            <w:noWrap/>
            <w:tcMar>
              <w:left w:w="57" w:type="dxa"/>
              <w:right w:w="57" w:type="dxa"/>
            </w:tcMar>
            <w:vAlign w:val="center"/>
          </w:tcPr>
          <w:p>
            <w:pPr>
              <w:jc w:val="center"/>
              <w:rPr>
                <w:szCs w:val="21"/>
              </w:rPr>
            </w:pPr>
            <w:r>
              <w:rPr>
                <w:rFonts w:hint="eastAsia" w:ascii="仿宋" w:hAnsi="仿宋" w:eastAsia="仿宋"/>
                <w:szCs w:val="21"/>
              </w:rPr>
              <w:t>能力2</w:t>
            </w:r>
          </w:p>
        </w:tc>
        <w:tc>
          <w:tcPr>
            <w:tcW w:w="850" w:type="dxa"/>
            <w:vAlign w:val="center"/>
          </w:tcPr>
          <w:p>
            <w:pPr>
              <w:jc w:val="center"/>
              <w:rPr>
                <w:szCs w:val="21"/>
              </w:rPr>
            </w:pPr>
            <w:r>
              <w:rPr>
                <w:rFonts w:hint="eastAsia" w:ascii="仿宋" w:hAnsi="仿宋" w:eastAsia="仿宋"/>
                <w:szCs w:val="21"/>
              </w:rPr>
              <w:t>能力3</w:t>
            </w:r>
          </w:p>
        </w:tc>
        <w:tc>
          <w:tcPr>
            <w:tcW w:w="851" w:type="dxa"/>
            <w:vAlign w:val="center"/>
          </w:tcPr>
          <w:p>
            <w:pPr>
              <w:jc w:val="center"/>
              <w:rPr>
                <w:szCs w:val="21"/>
              </w:rPr>
            </w:pPr>
            <w:r>
              <w:rPr>
                <w:rFonts w:hint="eastAsia" w:ascii="仿宋" w:hAnsi="仿宋" w:eastAsia="仿宋"/>
                <w:szCs w:val="21"/>
              </w:rPr>
              <w:t>能力4</w:t>
            </w:r>
          </w:p>
        </w:tc>
        <w:tc>
          <w:tcPr>
            <w:tcW w:w="850" w:type="dxa"/>
            <w:vAlign w:val="center"/>
          </w:tcPr>
          <w:p>
            <w:pPr>
              <w:jc w:val="center"/>
              <w:rPr>
                <w:szCs w:val="21"/>
              </w:rPr>
            </w:pPr>
            <w:r>
              <w:rPr>
                <w:rFonts w:hint="eastAsia" w:ascii="仿宋" w:hAnsi="仿宋" w:eastAsia="仿宋"/>
                <w:szCs w:val="21"/>
              </w:rPr>
              <w:t>能力5</w:t>
            </w:r>
          </w:p>
        </w:tc>
        <w:tc>
          <w:tcPr>
            <w:tcW w:w="851" w:type="dxa"/>
            <w:vAlign w:val="center"/>
          </w:tcPr>
          <w:p>
            <w:pPr>
              <w:jc w:val="center"/>
              <w:rPr>
                <w:szCs w:val="21"/>
              </w:rPr>
            </w:pPr>
            <w:r>
              <w:rPr>
                <w:rFonts w:hint="eastAsia" w:ascii="仿宋" w:hAnsi="仿宋" w:eastAsia="仿宋"/>
                <w:szCs w:val="21"/>
              </w:rPr>
              <w:t>能力6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1</w:t>
            </w:r>
          </w:p>
        </w:tc>
        <w:tc>
          <w:tcPr>
            <w:tcW w:w="567" w:type="dxa"/>
            <w:vMerge w:val="restart"/>
            <w:shd w:val="clear" w:color="auto" w:fill="auto"/>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必修课</w:t>
            </w:r>
          </w:p>
        </w:tc>
        <w:tc>
          <w:tcPr>
            <w:tcW w:w="1275" w:type="dxa"/>
            <w:vMerge w:val="restart"/>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通识课程</w:t>
            </w: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军事理论</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2</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思想道德修养与法律基础</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3</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709" w:type="dxa"/>
            <w:shd w:val="clear" w:color="auto" w:fill="auto"/>
            <w:noWrap/>
            <w:tcMar>
              <w:left w:w="57" w:type="dxa"/>
              <w:right w:w="57" w:type="dxa"/>
            </w:tcMar>
          </w:tcPr>
          <w:p>
            <w:pPr>
              <w:jc w:val="right"/>
            </w:pP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4</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形势与政策</w:t>
            </w:r>
          </w:p>
        </w:tc>
        <w:tc>
          <w:tcPr>
            <w:tcW w:w="709" w:type="dxa"/>
            <w:shd w:val="clear" w:color="auto" w:fill="auto"/>
            <w:noWrap/>
            <w:tcMar>
              <w:left w:w="57" w:type="dxa"/>
              <w:right w:w="57" w:type="dxa"/>
            </w:tcMar>
          </w:tcPr>
          <w:p>
            <w:pPr>
              <w:jc w:val="right"/>
            </w:pP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5</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马克思主义中国化进程与青年使命担当</w:t>
            </w:r>
          </w:p>
        </w:tc>
        <w:tc>
          <w:tcPr>
            <w:tcW w:w="709" w:type="dxa"/>
            <w:shd w:val="clear" w:color="auto" w:fill="auto"/>
            <w:noWrap/>
            <w:tcMar>
              <w:left w:w="57" w:type="dxa"/>
              <w:right w:w="57" w:type="dxa"/>
            </w:tcMar>
          </w:tcPr>
          <w:p>
            <w:pPr>
              <w:jc w:val="right"/>
            </w:pP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eastAsia"/>
                <w:sz w:val="18"/>
                <w:szCs w:val="18"/>
              </w:rPr>
            </w:pP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计算机应用基础</w:t>
            </w:r>
          </w:p>
        </w:tc>
        <w:tc>
          <w:tcPr>
            <w:tcW w:w="709" w:type="dxa"/>
            <w:shd w:val="clear" w:color="auto" w:fill="auto"/>
            <w:noWrap/>
            <w:tcMar>
              <w:left w:w="57" w:type="dxa"/>
              <w:right w:w="57" w:type="dxa"/>
            </w:tcMar>
            <w:vAlign w:val="top"/>
          </w:tcPr>
          <w:p>
            <w:pPr>
              <w:jc w:val="right"/>
              <w:rPr>
                <w:rFonts w:hint="eastAsia" w:asciiTheme="minorHAnsi" w:hAnsiTheme="minorHAnsi" w:eastAsiaTheme="minorEastAsia" w:cstheme="minorBidi"/>
                <w:kern w:val="2"/>
                <w:sz w:val="21"/>
                <w:szCs w:val="22"/>
                <w:lang w:val="en-US" w:eastAsia="zh-CN" w:bidi="ar-SA"/>
              </w:rPr>
            </w:pPr>
            <w:r>
              <w:rPr>
                <w:rFonts w:hint="eastAsia" w:ascii="仿宋" w:hAnsi="仿宋" w:eastAsia="仿宋"/>
                <w:szCs w:val="21"/>
              </w:rPr>
              <w:t>√</w:t>
            </w: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eastAsia"/>
                <w:sz w:val="18"/>
                <w:szCs w:val="18"/>
              </w:rPr>
            </w:pP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大学生职业生涯规划</w:t>
            </w:r>
          </w:p>
        </w:tc>
        <w:tc>
          <w:tcPr>
            <w:tcW w:w="709" w:type="dxa"/>
            <w:shd w:val="clear" w:color="auto" w:fill="auto"/>
            <w:noWrap/>
            <w:tcMar>
              <w:left w:w="57" w:type="dxa"/>
              <w:right w:w="57" w:type="dxa"/>
            </w:tcMar>
            <w:vAlign w:val="top"/>
          </w:tcPr>
          <w:p>
            <w:pPr>
              <w:jc w:val="right"/>
              <w:rPr>
                <w:rFonts w:hint="eastAsia" w:asciiTheme="minorHAnsi" w:hAnsiTheme="minorHAnsi" w:eastAsiaTheme="minorEastAsia" w:cstheme="minorBidi"/>
                <w:kern w:val="2"/>
                <w:sz w:val="21"/>
                <w:szCs w:val="22"/>
                <w:lang w:val="en-US" w:eastAsia="zh-CN" w:bidi="ar-SA"/>
              </w:rPr>
            </w:pPr>
            <w:r>
              <w:rPr>
                <w:rFonts w:hint="eastAsia" w:ascii="仿宋" w:hAnsi="仿宋" w:eastAsia="仿宋"/>
                <w:szCs w:val="21"/>
              </w:rPr>
              <w:t>√</w:t>
            </w: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eastAsia"/>
                <w:sz w:val="18"/>
                <w:szCs w:val="18"/>
              </w:rPr>
            </w:pP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大学英语</w:t>
            </w:r>
          </w:p>
        </w:tc>
        <w:tc>
          <w:tcPr>
            <w:tcW w:w="709" w:type="dxa"/>
            <w:shd w:val="clear" w:color="auto" w:fill="auto"/>
            <w:noWrap/>
            <w:tcMar>
              <w:left w:w="57" w:type="dxa"/>
              <w:right w:w="57" w:type="dxa"/>
            </w:tcMar>
          </w:tcPr>
          <w:p>
            <w:pPr>
              <w:jc w:val="right"/>
              <w:rPr>
                <w:rFonts w:hint="eastAsia" w:ascii="仿宋" w:hAnsi="仿宋" w:eastAsia="仿宋"/>
                <w:szCs w:val="21"/>
              </w:rPr>
            </w:pP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6</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高等数学</w:t>
            </w:r>
          </w:p>
        </w:tc>
        <w:tc>
          <w:tcPr>
            <w:tcW w:w="709" w:type="dxa"/>
            <w:shd w:val="clear" w:color="auto" w:fill="auto"/>
            <w:noWrap/>
            <w:tcMar>
              <w:left w:w="57" w:type="dxa"/>
              <w:right w:w="57" w:type="dxa"/>
            </w:tcMar>
          </w:tcPr>
          <w:p>
            <w:pPr>
              <w:jc w:val="right"/>
            </w:pP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ascii="宋体" w:hAnsi="宋体" w:cs="宋体"/>
                <w:sz w:val="18"/>
                <w:szCs w:val="18"/>
              </w:rPr>
            </w:pPr>
            <w:r>
              <w:rPr>
                <w:rFonts w:hint="eastAsia"/>
                <w:sz w:val="18"/>
                <w:szCs w:val="18"/>
              </w:rPr>
              <w:t>7</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大学语文</w:t>
            </w:r>
          </w:p>
        </w:tc>
        <w:tc>
          <w:tcPr>
            <w:tcW w:w="709" w:type="dxa"/>
            <w:shd w:val="clear" w:color="auto" w:fill="auto"/>
            <w:noWrap/>
            <w:tcMar>
              <w:left w:w="57" w:type="dxa"/>
              <w:right w:w="57" w:type="dxa"/>
            </w:tcMar>
          </w:tcPr>
          <w:p>
            <w:pPr>
              <w:jc w:val="right"/>
            </w:pPr>
          </w:p>
        </w:tc>
        <w:tc>
          <w:tcPr>
            <w:tcW w:w="709" w:type="dxa"/>
            <w:shd w:val="clear" w:color="auto" w:fill="auto"/>
            <w:noWrap/>
            <w:tcMar>
              <w:left w:w="57" w:type="dxa"/>
              <w:right w:w="57" w:type="dxa"/>
            </w:tcMar>
          </w:tcPr>
          <w:p>
            <w:pPr>
              <w:jc w:val="right"/>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8</w:t>
            </w:r>
          </w:p>
        </w:tc>
        <w:tc>
          <w:tcPr>
            <w:tcW w:w="567" w:type="dxa"/>
            <w:vMerge w:val="restart"/>
            <w:shd w:val="clear" w:color="auto" w:fill="auto"/>
            <w:noWrap/>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选修课</w:t>
            </w:r>
          </w:p>
        </w:tc>
        <w:tc>
          <w:tcPr>
            <w:tcW w:w="1275" w:type="dxa"/>
            <w:vMerge w:val="restart"/>
            <w:noWrap/>
            <w:tcMar>
              <w:left w:w="57" w:type="dxa"/>
              <w:right w:w="57" w:type="dxa"/>
            </w:tcMar>
            <w:vAlign w:val="center"/>
          </w:tcPr>
          <w:p>
            <w:pPr>
              <w:adjustRightInd w:val="0"/>
              <w:snapToGrid w:val="0"/>
              <w:jc w:val="both"/>
              <w:rPr>
                <w:rFonts w:ascii="仿宋" w:hAnsi="仿宋" w:eastAsia="仿宋"/>
                <w:szCs w:val="21"/>
              </w:rPr>
            </w:pPr>
            <w:r>
              <w:rPr>
                <w:rFonts w:hint="eastAsia" w:ascii="仿宋" w:hAnsi="仿宋" w:eastAsia="仿宋"/>
                <w:szCs w:val="21"/>
              </w:rPr>
              <w:t>专业技术平台课程</w:t>
            </w: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测绘基础应用技能★</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9</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数字测图★</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10</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不动产测绘</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11</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Times New Roman" w:hAnsi="Times New Roman"/>
                <w:color w:val="000000"/>
                <w:sz w:val="18"/>
                <w:szCs w:val="18"/>
              </w:rPr>
            </w:pPr>
            <w:r>
              <w:rPr>
                <w:rFonts w:hint="eastAsia" w:ascii="宋体" w:hAnsi="宋体" w:eastAsia="宋体" w:cs="宋体"/>
                <w:i w:val="0"/>
                <w:color w:val="000000"/>
                <w:kern w:val="0"/>
                <w:sz w:val="18"/>
                <w:szCs w:val="18"/>
                <w:u w:val="none"/>
                <w:lang w:val="en-US" w:eastAsia="zh-CN" w:bidi="ar"/>
              </w:rPr>
              <w:t>数据库原理与应用</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12</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工程测量★</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13</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误差理论与测量平差</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14</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测绘管理与法律法规</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15</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地理信息系统</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16</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控制测量★</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17</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控制测量实训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18</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不动产测绘实训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19</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GNSS卫星定位测量</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20</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数字测图实训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21</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工程测量实训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22</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摄影测量与遥感</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23</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摄影测量与遥感实训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24</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地理信息系统实训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25</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both"/>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大学生职业发展与就业指导</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26</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vMerge w:val="continue"/>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1" w:type="dxa"/>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83" w:type="dxa"/>
            <w:shd w:val="clear" w:color="auto" w:fill="auto"/>
            <w:noWrap/>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27</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275" w:type="dxa"/>
            <w:noWrap/>
            <w:tcMar>
              <w:left w:w="57" w:type="dxa"/>
              <w:right w:w="57" w:type="dxa"/>
            </w:tcMar>
            <w:vAlign w:val="center"/>
          </w:tcPr>
          <w:p>
            <w:pPr>
              <w:adjustRightInd w:val="0"/>
              <w:snapToGrid w:val="0"/>
              <w:jc w:val="both"/>
              <w:rPr>
                <w:rFonts w:ascii="仿宋" w:hAnsi="仿宋" w:eastAsia="仿宋"/>
                <w:szCs w:val="21"/>
              </w:rPr>
            </w:pPr>
            <w:r>
              <w:rPr>
                <w:rFonts w:hint="eastAsia" w:ascii="仿宋" w:hAnsi="仿宋" w:eastAsia="仿宋"/>
                <w:szCs w:val="21"/>
              </w:rPr>
              <w:t>创新创业特色课程</w:t>
            </w:r>
          </w:p>
        </w:tc>
        <w:tc>
          <w:tcPr>
            <w:tcW w:w="1843" w:type="dxa"/>
            <w:noWrap/>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GNSS卫星定位测量实训</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709" w:type="dxa"/>
            <w:shd w:val="clear" w:color="auto" w:fill="auto"/>
            <w:noWrap/>
            <w:tcMar>
              <w:left w:w="57" w:type="dxa"/>
              <w:right w:w="57" w:type="dxa"/>
            </w:tcMar>
            <w:vAlign w:val="center"/>
          </w:tcPr>
          <w:p>
            <w:pPr>
              <w:adjustRightInd w:val="0"/>
              <w:snapToGrid w:val="0"/>
              <w:ind w:firstLine="420" w:firstLineChars="20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c>
          <w:tcPr>
            <w:tcW w:w="850" w:type="dxa"/>
            <w:vAlign w:val="center"/>
          </w:tcPr>
          <w:p>
            <w:pPr>
              <w:adjustRightInd w:val="0"/>
              <w:snapToGrid w:val="0"/>
              <w:ind w:firstLine="420" w:firstLineChars="200"/>
              <w:jc w:val="center"/>
              <w:rPr>
                <w:rFonts w:ascii="仿宋" w:hAnsi="仿宋" w:eastAsia="仿宋"/>
                <w:szCs w:val="21"/>
              </w:rPr>
            </w:pPr>
          </w:p>
        </w:tc>
        <w:tc>
          <w:tcPr>
            <w:tcW w:w="851" w:type="dxa"/>
            <w:vAlign w:val="center"/>
          </w:tcPr>
          <w:p>
            <w:pPr>
              <w:adjustRightInd w:val="0"/>
              <w:snapToGrid w:val="0"/>
              <w:ind w:firstLine="420" w:firstLineChars="200"/>
              <w:jc w:val="center"/>
              <w:rPr>
                <w:rFonts w:ascii="仿宋" w:hAnsi="仿宋" w:eastAsia="仿宋"/>
                <w:szCs w:val="21"/>
              </w:rPr>
            </w:pPr>
          </w:p>
        </w:tc>
      </w:tr>
    </w:tbl>
    <w:p>
      <w:pPr>
        <w:ind w:firstLine="420" w:firstLineChars="200"/>
      </w:pPr>
    </w:p>
    <w:p>
      <w:pPr>
        <w:pStyle w:val="3"/>
        <w:rPr>
          <w:sz w:val="24"/>
          <w:szCs w:val="24"/>
        </w:rPr>
      </w:pPr>
      <w:bookmarkStart w:id="20" w:name="_Toc7340067"/>
      <w:r>
        <w:rPr>
          <w:rFonts w:hint="eastAsia"/>
          <w:sz w:val="24"/>
          <w:szCs w:val="24"/>
        </w:rPr>
        <w:t>3.【学业评价】</w:t>
      </w:r>
      <w:bookmarkEnd w:id="20"/>
    </w:p>
    <w:p>
      <w:pPr>
        <w:spacing w:line="480" w:lineRule="exact"/>
        <w:ind w:left="480"/>
        <w:jc w:val="left"/>
        <w:rPr>
          <w:rFonts w:ascii="宋体" w:hAnsi="宋体"/>
          <w:color w:val="000000"/>
          <w:szCs w:val="21"/>
        </w:rPr>
      </w:pPr>
      <w:bookmarkStart w:id="21" w:name="_Toc7340068"/>
      <w:r>
        <w:rPr>
          <w:rFonts w:hint="eastAsia" w:ascii="宋体" w:hAnsi="宋体"/>
          <w:szCs w:val="21"/>
        </w:rPr>
        <w:t>（1）</w:t>
      </w:r>
      <w:r>
        <w:rPr>
          <w:rFonts w:hint="eastAsia" w:ascii="宋体" w:hAnsi="宋体"/>
          <w:color w:val="000000"/>
          <w:szCs w:val="21"/>
        </w:rPr>
        <w:t>课程考核综合说明</w:t>
      </w:r>
    </w:p>
    <w:p>
      <w:pPr>
        <w:numPr>
          <w:ilvl w:val="0"/>
          <w:numId w:val="1"/>
        </w:numPr>
        <w:spacing w:line="480" w:lineRule="exact"/>
        <w:jc w:val="left"/>
        <w:rPr>
          <w:rFonts w:ascii="宋体" w:hAnsi="宋体"/>
          <w:color w:val="000000"/>
          <w:szCs w:val="21"/>
        </w:rPr>
      </w:pPr>
      <w:r>
        <w:rPr>
          <w:rFonts w:hint="eastAsia" w:ascii="宋体" w:hAnsi="宋体"/>
          <w:color w:val="000000"/>
          <w:szCs w:val="21"/>
        </w:rPr>
        <w:t>考核以形成性考核为主，可根据不同课程的特点和要求采取笔试、口试、实操、作品、成果汇报等多种方式进行考核；</w:t>
      </w:r>
    </w:p>
    <w:p>
      <w:pPr>
        <w:numPr>
          <w:ilvl w:val="0"/>
          <w:numId w:val="1"/>
        </w:numPr>
        <w:spacing w:line="480" w:lineRule="exact"/>
        <w:jc w:val="left"/>
        <w:rPr>
          <w:rFonts w:ascii="宋体" w:hAnsi="宋体"/>
          <w:color w:val="000000"/>
          <w:szCs w:val="21"/>
        </w:rPr>
      </w:pPr>
      <w:r>
        <w:rPr>
          <w:rFonts w:hint="eastAsia" w:ascii="宋体" w:hAnsi="宋体"/>
          <w:color w:val="000000"/>
          <w:szCs w:val="21"/>
        </w:rPr>
        <w:t>考核要以能力考核为核心，综合考核专业知识、专业技能、方法能力、职业素质、团队合作等方面；</w:t>
      </w:r>
    </w:p>
    <w:p>
      <w:pPr>
        <w:numPr>
          <w:ilvl w:val="0"/>
          <w:numId w:val="1"/>
        </w:numPr>
        <w:spacing w:line="480" w:lineRule="exact"/>
        <w:jc w:val="left"/>
        <w:rPr>
          <w:rFonts w:ascii="宋体" w:hAnsi="宋体"/>
          <w:color w:val="000000"/>
          <w:szCs w:val="21"/>
        </w:rPr>
      </w:pPr>
      <w:r>
        <w:rPr>
          <w:rFonts w:hint="eastAsia" w:ascii="宋体" w:hAnsi="宋体"/>
          <w:color w:val="000000"/>
          <w:szCs w:val="21"/>
        </w:rPr>
        <w:t>各课程应该根据课程的特点、要求，对采取不同方式、对各个方面的考核结果，通过一定的加权系数评定课程最终成绩。</w:t>
      </w:r>
    </w:p>
    <w:p>
      <w:pPr>
        <w:spacing w:line="480" w:lineRule="exact"/>
        <w:ind w:firstLine="420" w:firstLineChars="200"/>
        <w:jc w:val="left"/>
        <w:rPr>
          <w:rFonts w:ascii="宋体" w:hAnsi="宋体"/>
          <w:color w:val="000000"/>
          <w:szCs w:val="21"/>
        </w:rPr>
      </w:pPr>
      <w:r>
        <w:rPr>
          <w:rFonts w:hint="eastAsia" w:ascii="宋体" w:hAnsi="宋体"/>
          <w:szCs w:val="21"/>
        </w:rPr>
        <w:t>（2）</w:t>
      </w:r>
      <w:r>
        <w:rPr>
          <w:rFonts w:hint="eastAsia" w:ascii="宋体" w:hAnsi="宋体"/>
          <w:color w:val="000000"/>
          <w:szCs w:val="21"/>
        </w:rPr>
        <w:t>课程质量评价要点</w:t>
      </w:r>
    </w:p>
    <w:p>
      <w:pPr>
        <w:numPr>
          <w:ilvl w:val="0"/>
          <w:numId w:val="2"/>
        </w:numPr>
        <w:spacing w:line="480" w:lineRule="exact"/>
        <w:jc w:val="left"/>
        <w:rPr>
          <w:rFonts w:ascii="宋体" w:hAnsi="宋体"/>
          <w:color w:val="000000"/>
          <w:szCs w:val="21"/>
        </w:rPr>
      </w:pPr>
      <w:r>
        <w:rPr>
          <w:rFonts w:hint="eastAsia" w:ascii="宋体" w:hAnsi="宋体"/>
          <w:color w:val="000000"/>
          <w:szCs w:val="21"/>
        </w:rPr>
        <w:t>本专业课程的基本质量要求</w:t>
      </w:r>
    </w:p>
    <w:p>
      <w:pPr>
        <w:spacing w:line="480" w:lineRule="exact"/>
        <w:ind w:left="481" w:leftChars="229" w:firstLine="420" w:firstLineChars="200"/>
        <w:jc w:val="left"/>
        <w:rPr>
          <w:rFonts w:ascii="宋体" w:hAnsi="宋体"/>
          <w:color w:val="000000"/>
          <w:szCs w:val="21"/>
        </w:rPr>
      </w:pPr>
      <w:r>
        <w:rPr>
          <w:rFonts w:hint="eastAsia" w:ascii="宋体" w:hAnsi="宋体"/>
          <w:color w:val="000000"/>
          <w:szCs w:val="21"/>
        </w:rPr>
        <w:t>主业课程以培养学生的职业技能为核心，课程的内容设置及组织实施应突出学生能力的形成。</w:t>
      </w:r>
    </w:p>
    <w:p>
      <w:pPr>
        <w:numPr>
          <w:ilvl w:val="0"/>
          <w:numId w:val="2"/>
        </w:numPr>
        <w:spacing w:line="480" w:lineRule="exact"/>
        <w:jc w:val="left"/>
        <w:rPr>
          <w:rFonts w:ascii="宋体" w:hAnsi="宋体"/>
          <w:color w:val="000000"/>
          <w:szCs w:val="21"/>
        </w:rPr>
      </w:pPr>
      <w:r>
        <w:rPr>
          <w:rFonts w:hint="eastAsia" w:ascii="宋体" w:hAnsi="宋体"/>
          <w:color w:val="000000"/>
          <w:szCs w:val="21"/>
        </w:rPr>
        <w:t>本专业课程的质量评价方法</w:t>
      </w:r>
    </w:p>
    <w:p>
      <w:pPr>
        <w:spacing w:line="480" w:lineRule="exact"/>
        <w:ind w:left="900"/>
        <w:jc w:val="left"/>
        <w:rPr>
          <w:rFonts w:ascii="宋体" w:hAnsi="宋体"/>
          <w:color w:val="000000"/>
          <w:szCs w:val="21"/>
        </w:rPr>
      </w:pPr>
      <w:r>
        <w:rPr>
          <w:rFonts w:hint="eastAsia" w:ascii="宋体" w:hAnsi="宋体"/>
          <w:color w:val="000000"/>
          <w:szCs w:val="21"/>
        </w:rPr>
        <w:t>质量评价方法按照学校的统一要求，由学生评价、同行评价、校外专家评价相结合。</w:t>
      </w:r>
    </w:p>
    <w:p>
      <w:pPr>
        <w:spacing w:line="480" w:lineRule="exact"/>
        <w:ind w:firstLine="420" w:firstLineChars="200"/>
        <w:jc w:val="left"/>
        <w:rPr>
          <w:rFonts w:ascii="宋体" w:hAnsi="宋体"/>
          <w:color w:val="000000"/>
          <w:szCs w:val="21"/>
        </w:rPr>
      </w:pPr>
      <w:r>
        <w:rPr>
          <w:rFonts w:hint="eastAsia" w:ascii="宋体" w:hAnsi="宋体"/>
          <w:szCs w:val="21"/>
        </w:rPr>
        <w:t>（3）</w:t>
      </w:r>
      <w:r>
        <w:rPr>
          <w:rFonts w:hint="eastAsia" w:ascii="宋体" w:hAnsi="宋体"/>
          <w:color w:val="000000"/>
          <w:szCs w:val="21"/>
        </w:rPr>
        <w:t>本专业评定“工贸职业技师”的标准</w:t>
      </w:r>
    </w:p>
    <w:p>
      <w:pPr>
        <w:spacing w:line="480" w:lineRule="exact"/>
        <w:ind w:firstLine="420" w:firstLineChars="200"/>
        <w:rPr>
          <w:rFonts w:ascii="宋体" w:hAnsi="宋体"/>
          <w:color w:val="000000"/>
          <w:szCs w:val="21"/>
        </w:rPr>
      </w:pPr>
      <w:r>
        <w:rPr>
          <w:rFonts w:hint="eastAsia" w:ascii="宋体" w:hAnsi="宋体"/>
          <w:color w:val="000000"/>
          <w:szCs w:val="21"/>
        </w:rPr>
        <w:t>满足“广东工贸职业技术学院工贸职业技师授予条件”的规定。</w:t>
      </w:r>
    </w:p>
    <w:p>
      <w:pPr>
        <w:pStyle w:val="3"/>
        <w:rPr>
          <w:sz w:val="24"/>
          <w:szCs w:val="24"/>
        </w:rPr>
      </w:pPr>
      <w:r>
        <w:rPr>
          <w:rFonts w:hint="eastAsia"/>
          <w:sz w:val="24"/>
          <w:szCs w:val="24"/>
        </w:rPr>
        <w:t>4.【毕业要求】</w:t>
      </w:r>
      <w:bookmarkEnd w:id="21"/>
    </w:p>
    <w:p>
      <w:pPr>
        <w:spacing w:line="480" w:lineRule="exact"/>
        <w:ind w:firstLine="420" w:firstLineChars="200"/>
        <w:rPr>
          <w:rFonts w:ascii="宋体" w:hAnsi="宋体"/>
        </w:rPr>
      </w:pPr>
      <w:r>
        <w:rPr>
          <w:rFonts w:hint="eastAsia" w:ascii="宋体" w:hAnsi="宋体"/>
        </w:rPr>
        <w:t>学生须修完本专业教学计划表所规定的课程，获120学分及规定必须获得的专业职业资格、公共课程等证书，方能毕业。</w:t>
      </w:r>
    </w:p>
    <w:p>
      <w:pPr>
        <w:spacing w:line="400" w:lineRule="exact"/>
        <w:rPr>
          <w:rFonts w:asciiTheme="majorEastAsia" w:hAnsiTheme="majorEastAsia" w:eastAsiaTheme="majorEastAsia"/>
        </w:rPr>
      </w:pPr>
    </w:p>
    <w:p>
      <w:pPr>
        <w:pStyle w:val="2"/>
      </w:pPr>
      <w:bookmarkStart w:id="22" w:name="_Toc7340069"/>
      <w:r>
        <w:rPr>
          <w:rFonts w:hint="eastAsia"/>
        </w:rPr>
        <w:t>五、教学计划</w:t>
      </w:r>
      <w:bookmarkEnd w:id="22"/>
      <w:r>
        <w:rPr>
          <w:rFonts w:hint="eastAsia"/>
        </w:rPr>
        <w:t xml:space="preserve"> </w:t>
      </w:r>
    </w:p>
    <w:p>
      <w:pPr>
        <w:pStyle w:val="3"/>
        <w:rPr>
          <w:sz w:val="24"/>
          <w:szCs w:val="24"/>
        </w:rPr>
      </w:pPr>
      <w:bookmarkStart w:id="23" w:name="_Toc7340070"/>
      <w:r>
        <w:rPr>
          <w:rFonts w:hint="eastAsia"/>
          <w:sz w:val="24"/>
          <w:szCs w:val="24"/>
        </w:rPr>
        <w:t>1.【专业教学计划】</w:t>
      </w:r>
      <w:bookmarkEnd w:id="23"/>
    </w:p>
    <w:p>
      <w:pPr>
        <w:spacing w:line="480" w:lineRule="exact"/>
        <w:jc w:val="center"/>
        <w:rPr>
          <w:rFonts w:hint="eastAsia" w:ascii="宋体" w:hAnsi="宋体" w:eastAsiaTheme="minorEastAsia"/>
          <w:szCs w:val="21"/>
          <w:lang w:eastAsia="zh-CN"/>
        </w:rPr>
      </w:pPr>
      <w:r>
        <w:rPr>
          <w:rFonts w:hint="eastAsia" w:ascii="宋体" w:hAnsi="宋体" w:eastAsiaTheme="minorEastAsia"/>
          <w:szCs w:val="21"/>
          <w:lang w:eastAsia="zh-CN"/>
        </w:rPr>
        <w:drawing>
          <wp:anchor distT="0" distB="0" distL="114300" distR="114300" simplePos="0" relativeHeight="251726848" behindDoc="0" locked="0" layoutInCell="1" allowOverlap="1">
            <wp:simplePos x="0" y="0"/>
            <wp:positionH relativeFrom="column">
              <wp:posOffset>-95250</wp:posOffset>
            </wp:positionH>
            <wp:positionV relativeFrom="paragraph">
              <wp:posOffset>4445</wp:posOffset>
            </wp:positionV>
            <wp:extent cx="5967730" cy="3524885"/>
            <wp:effectExtent l="0" t="0" r="13970" b="18415"/>
            <wp:wrapTopAndBottom/>
            <wp:docPr id="5" name="图片 5" descr="广通教学点  附件12：2020级工程测量技术专业教学计划表（3年制）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广通教学点  附件12：2020级工程测量技术专业教学计划表（3年制）_页面_1"/>
                    <pic:cNvPicPr>
                      <a:picLocks noChangeAspect="1"/>
                    </pic:cNvPicPr>
                  </pic:nvPicPr>
                  <pic:blipFill>
                    <a:blip r:embed="rId8"/>
                    <a:srcRect l="16600" t="5222" r="16938" b="67013"/>
                    <a:stretch>
                      <a:fillRect/>
                    </a:stretch>
                  </pic:blipFill>
                  <pic:spPr>
                    <a:xfrm>
                      <a:off x="0" y="0"/>
                      <a:ext cx="5967730" cy="3524885"/>
                    </a:xfrm>
                    <a:prstGeom prst="rect">
                      <a:avLst/>
                    </a:prstGeom>
                  </pic:spPr>
                </pic:pic>
              </a:graphicData>
            </a:graphic>
          </wp:anchor>
        </w:drawing>
      </w:r>
      <w:r>
        <w:rPr>
          <w:rFonts w:hint="eastAsia" w:ascii="宋体" w:hAnsi="宋体" w:eastAsiaTheme="minorEastAsia"/>
          <w:szCs w:val="21"/>
          <w:lang w:eastAsia="zh-CN"/>
        </w:rPr>
        <w:drawing>
          <wp:inline distT="0" distB="0" distL="114300" distR="114300">
            <wp:extent cx="5271135" cy="7453630"/>
            <wp:effectExtent l="0" t="0" r="5715" b="13970"/>
            <wp:docPr id="4" name="图片 4" descr="广通教学点  附件12：2020级工程测量技术专业教学计划表（3年制）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广通教学点  附件12：2020级工程测量技术专业教学计划表（3年制）_页面_1"/>
                    <pic:cNvPicPr>
                      <a:picLocks noChangeAspect="1"/>
                    </pic:cNvPicPr>
                  </pic:nvPicPr>
                  <pic:blipFill>
                    <a:blip r:embed="rId8"/>
                    <a:stretch>
                      <a:fillRect/>
                    </a:stretch>
                  </pic:blipFill>
                  <pic:spPr>
                    <a:xfrm>
                      <a:off x="0" y="0"/>
                      <a:ext cx="5271135" cy="7453630"/>
                    </a:xfrm>
                    <a:prstGeom prst="rect">
                      <a:avLst/>
                    </a:prstGeom>
                  </pic:spPr>
                </pic:pic>
              </a:graphicData>
            </a:graphic>
          </wp:inline>
        </w:drawing>
      </w:r>
    </w:p>
    <w:p>
      <w:pPr>
        <w:spacing w:line="480" w:lineRule="exact"/>
        <w:jc w:val="center"/>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drawing>
          <wp:anchor distT="0" distB="0" distL="114300" distR="114300" simplePos="0" relativeHeight="251761664" behindDoc="0" locked="0" layoutInCell="1" allowOverlap="1">
            <wp:simplePos x="0" y="0"/>
            <wp:positionH relativeFrom="column">
              <wp:posOffset>-97790</wp:posOffset>
            </wp:positionH>
            <wp:positionV relativeFrom="paragraph">
              <wp:posOffset>88900</wp:posOffset>
            </wp:positionV>
            <wp:extent cx="5555615" cy="5346065"/>
            <wp:effectExtent l="0" t="0" r="6985" b="6985"/>
            <wp:wrapNone/>
            <wp:docPr id="3" name="图片 3" descr="广通教学点  附件12：2020级工程测量技术专业教学计划表（3年制）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广通教学点  附件12：2020级工程测量技术专业教学计划表（3年制）_页面_1"/>
                    <pic:cNvPicPr>
                      <a:picLocks noChangeAspect="1"/>
                    </pic:cNvPicPr>
                  </pic:nvPicPr>
                  <pic:blipFill>
                    <a:blip r:embed="rId8"/>
                    <a:srcRect l="16600" t="32621" r="16938" b="22150"/>
                    <a:stretch>
                      <a:fillRect/>
                    </a:stretch>
                  </pic:blipFill>
                  <pic:spPr>
                    <a:xfrm>
                      <a:off x="0" y="0"/>
                      <a:ext cx="5555615" cy="5346065"/>
                    </a:xfrm>
                    <a:prstGeom prst="rect">
                      <a:avLst/>
                    </a:prstGeom>
                  </pic:spPr>
                </pic:pic>
              </a:graphicData>
            </a:graphic>
          </wp:anchor>
        </w:drawing>
      </w: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1.课程类型填写：A（纯理论课）、B（理论+实践），要填写实践学时；实践分课内实践（每周按24学时计算）和课外实践（每周按30学时计算），课外实践学时需在开课学期用“学时”标明）、C(纯实践课，标明周次，每周按30学时计算)。</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2.课程考核：课程如果融合职业技能证书鉴定--以证代考，考核学期数字后加标注“＊”；批准设置为“过程性考核”的，考核学期数字后加标注“▲”；实施混合式教学的课程后标注“Η”，要求每专业至少有一门专业技术平台课程或者专业技术方向课程实施混合式教学，并在优慕课平台做好数字化课程建设。</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3.课程实施说明：</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（1）专业核心课程标注“★”，每专业核心课程4-6门。</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（2）思想道德修养与法律基础（廉洁修身）、毛泽东思想和中国特色社会主义理论概论、体育、劳育、就业指导等4门课程，校内授课按课内学时安排。</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（3）“毕业综合实训和生产（顶岗）实习”为必选课程，也是专业核心课程，标注“★”，共15周，每周按30学时计算，计15学分。</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（4）公共选修课程具体设置请参照《公选课课程目录》中的备注说明，二级学院（部门）开设课程列入《公选课课程目录》。</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（5）要求每专业周学时数不低于22节、不超过26节，实践学时占总学时比例不低于50%。</w:t>
      </w:r>
    </w:p>
    <w:p>
      <w:pPr>
        <w:spacing w:line="480" w:lineRule="exact"/>
        <w:jc w:val="left"/>
        <w:rPr>
          <w:rFonts w:hint="eastAsia" w:ascii="宋体" w:hAnsi="宋体" w:eastAsiaTheme="minorEastAsia"/>
          <w:szCs w:val="21"/>
          <w:lang w:eastAsia="zh-CN"/>
        </w:rPr>
      </w:pPr>
      <w:r>
        <w:rPr>
          <w:rFonts w:hint="eastAsia" w:ascii="宋体" w:hAnsi="宋体" w:eastAsiaTheme="minorEastAsia"/>
          <w:szCs w:val="21"/>
          <w:lang w:eastAsia="zh-CN"/>
        </w:rPr>
        <w:t>（6）专业技术平台课程为专业群基础课程，同一专业群的平台课程相同。</w:t>
      </w:r>
    </w:p>
    <w:p>
      <w:pPr>
        <w:spacing w:line="480" w:lineRule="exact"/>
        <w:jc w:val="left"/>
        <w:rPr>
          <w:rFonts w:ascii="宋体" w:hAnsi="宋体"/>
          <w:szCs w:val="21"/>
        </w:rPr>
      </w:pPr>
      <w:r>
        <w:rPr>
          <w:rFonts w:hint="eastAsia" w:ascii="宋体" w:hAnsi="宋体" w:eastAsiaTheme="minorEastAsia"/>
          <w:szCs w:val="21"/>
          <w:lang w:eastAsia="zh-CN"/>
        </w:rPr>
        <w:t>（7）专业技术方向课程可设置若干个模块，每个模块6-8门课程，模块与模块之间至少一门课程不同，对于具体某一个学生只能选修其中一个模块。</w:t>
      </w:r>
    </w:p>
    <w:p>
      <w:pPr>
        <w:pStyle w:val="3"/>
        <w:rPr>
          <w:sz w:val="24"/>
          <w:szCs w:val="24"/>
        </w:rPr>
      </w:pPr>
      <w:bookmarkStart w:id="24" w:name="_Toc432451884"/>
      <w:bookmarkStart w:id="25" w:name="_Toc29758"/>
      <w:bookmarkStart w:id="26" w:name="_Toc530119699"/>
      <w:bookmarkStart w:id="27" w:name="_Toc7340071"/>
      <w:r>
        <w:rPr>
          <w:rFonts w:hint="eastAsia"/>
          <w:sz w:val="24"/>
          <w:szCs w:val="24"/>
        </w:rPr>
        <w:t>2.【专业教学计划实施说明】</w:t>
      </w:r>
      <w:bookmarkEnd w:id="24"/>
      <w:bookmarkEnd w:id="25"/>
      <w:bookmarkEnd w:id="26"/>
      <w:bookmarkEnd w:id="27"/>
    </w:p>
    <w:p>
      <w:pPr>
        <w:spacing w:line="480" w:lineRule="exact"/>
        <w:ind w:firstLine="420" w:firstLineChars="200"/>
        <w:rPr>
          <w:rFonts w:ascii="宋体" w:hAnsi="宋体"/>
        </w:rPr>
      </w:pPr>
      <w:bookmarkStart w:id="28" w:name="_Toc7340072"/>
      <w:r>
        <w:rPr>
          <w:rFonts w:hint="eastAsia" w:ascii="宋体" w:hAnsi="宋体"/>
        </w:rPr>
        <w:t>2.1学时分配</w:t>
      </w:r>
    </w:p>
    <w:p>
      <w:pPr>
        <w:spacing w:line="480" w:lineRule="exact"/>
        <w:ind w:firstLine="420" w:firstLineChars="200"/>
        <w:rPr>
          <w:rFonts w:ascii="宋体" w:hAnsi="宋体"/>
          <w:szCs w:val="21"/>
        </w:rPr>
      </w:pPr>
      <w:r>
        <w:rPr>
          <w:rFonts w:hint="eastAsia" w:ascii="Times New Roman" w:hAnsi="Times New Roman"/>
          <w:szCs w:val="21"/>
        </w:rPr>
        <w:t>本教学计划</w:t>
      </w:r>
      <w:r>
        <w:rPr>
          <w:rFonts w:ascii="Times New Roman" w:hAnsi="Times New Roman"/>
          <w:szCs w:val="21"/>
        </w:rPr>
        <w:t>总学时</w:t>
      </w:r>
      <w:r>
        <w:rPr>
          <w:rFonts w:hint="eastAsia" w:ascii="Times New Roman" w:hAnsi="Times New Roman"/>
          <w:szCs w:val="21"/>
        </w:rPr>
        <w:t>为2674学时，其中课内</w:t>
      </w:r>
      <w:r>
        <w:rPr>
          <w:rFonts w:ascii="Times New Roman" w:hAnsi="Times New Roman"/>
          <w:szCs w:val="21"/>
        </w:rPr>
        <w:t>学</w:t>
      </w:r>
      <w:r>
        <w:rPr>
          <w:rFonts w:hint="eastAsia" w:ascii="Times New Roman" w:hAnsi="Times New Roman"/>
          <w:szCs w:val="21"/>
        </w:rPr>
        <w:t>时774学时，</w:t>
      </w:r>
      <w:r>
        <w:rPr>
          <w:rFonts w:ascii="Times New Roman" w:hAnsi="Times New Roman"/>
          <w:szCs w:val="21"/>
        </w:rPr>
        <w:t>实践教学</w:t>
      </w:r>
      <w:r>
        <w:rPr>
          <w:rFonts w:hint="eastAsia" w:ascii="Times New Roman" w:hAnsi="Times New Roman"/>
          <w:szCs w:val="21"/>
        </w:rPr>
        <w:t>为</w:t>
      </w:r>
      <w:r>
        <w:rPr>
          <w:rFonts w:ascii="Times New Roman" w:hAnsi="Times New Roman"/>
          <w:szCs w:val="21"/>
        </w:rPr>
        <w:t>1</w:t>
      </w:r>
      <w:r>
        <w:rPr>
          <w:rFonts w:hint="eastAsia" w:ascii="Times New Roman" w:hAnsi="Times New Roman"/>
          <w:szCs w:val="21"/>
        </w:rPr>
        <w:t>902学时，</w:t>
      </w:r>
      <w:r>
        <w:rPr>
          <w:rFonts w:ascii="Times New Roman" w:hAnsi="Times New Roman"/>
          <w:szCs w:val="21"/>
        </w:rPr>
        <w:t>实践教学占</w:t>
      </w:r>
      <w:r>
        <w:rPr>
          <w:rFonts w:hint="eastAsia" w:ascii="Times New Roman" w:hAnsi="Times New Roman"/>
          <w:szCs w:val="21"/>
        </w:rPr>
        <w:t>总学时的71</w:t>
      </w:r>
      <w:r>
        <w:rPr>
          <w:rFonts w:ascii="Times New Roman" w:hAnsi="Times New Roman"/>
          <w:szCs w:val="21"/>
        </w:rPr>
        <w:t>%。</w:t>
      </w:r>
    </w:p>
    <w:p>
      <w:pPr>
        <w:spacing w:line="480" w:lineRule="exact"/>
        <w:ind w:firstLine="420" w:firstLineChars="200"/>
        <w:rPr>
          <w:rFonts w:ascii="宋体" w:hAnsi="宋体"/>
        </w:rPr>
      </w:pPr>
      <w:r>
        <w:rPr>
          <w:rFonts w:hint="eastAsia" w:ascii="宋体" w:hAnsi="宋体"/>
        </w:rPr>
        <w:t>说明：学时安排应根据学生的认知特点和成长规律，注重各类课程学时的科学合理分配；可根据专业特点与相关行业生产特点灵活设置大小学期。</w:t>
      </w:r>
    </w:p>
    <w:p>
      <w:pPr>
        <w:spacing w:line="480" w:lineRule="exact"/>
        <w:ind w:firstLine="420" w:firstLineChars="200"/>
        <w:rPr>
          <w:rFonts w:ascii="宋体" w:hAnsi="宋体"/>
        </w:rPr>
      </w:pPr>
      <w:r>
        <w:rPr>
          <w:rFonts w:hint="eastAsia" w:ascii="宋体" w:hAnsi="宋体"/>
        </w:rPr>
        <w:t>三年制高职每学年教学时间不少于</w:t>
      </w:r>
      <w:r>
        <w:rPr>
          <w:rFonts w:ascii="宋体" w:hAnsi="宋体"/>
        </w:rPr>
        <w:t>40</w:t>
      </w:r>
      <w:r>
        <w:rPr>
          <w:rFonts w:hint="eastAsia" w:ascii="宋体" w:hAnsi="宋体"/>
        </w:rPr>
        <w:t>周，总学时数大于</w:t>
      </w:r>
      <w:r>
        <w:rPr>
          <w:rFonts w:ascii="宋体" w:hAnsi="宋体"/>
        </w:rPr>
        <w:t>2500</w:t>
      </w:r>
      <w:r>
        <w:rPr>
          <w:rFonts w:hint="eastAsia" w:ascii="宋体" w:hAnsi="宋体"/>
        </w:rPr>
        <w:t>，顶岗实习一般按每周</w:t>
      </w:r>
      <w:r>
        <w:rPr>
          <w:rFonts w:ascii="宋体" w:hAnsi="宋体"/>
        </w:rPr>
        <w:t>24-30</w:t>
      </w:r>
      <w:r>
        <w:rPr>
          <w:rFonts w:hint="eastAsia" w:ascii="宋体" w:hAnsi="宋体"/>
        </w:rPr>
        <w:t>学时计算。每学时不少于</w:t>
      </w:r>
      <w:r>
        <w:rPr>
          <w:rFonts w:ascii="宋体" w:hAnsi="宋体"/>
        </w:rPr>
        <w:t>45</w:t>
      </w:r>
      <w:r>
        <w:rPr>
          <w:rFonts w:hint="eastAsia" w:ascii="宋体" w:hAnsi="宋体"/>
        </w:rPr>
        <w:t>分钟。</w:t>
      </w:r>
    </w:p>
    <w:p>
      <w:pPr>
        <w:spacing w:line="480" w:lineRule="exact"/>
        <w:ind w:firstLine="420" w:firstLineChars="200"/>
        <w:rPr>
          <w:rFonts w:ascii="宋体" w:hAnsi="宋体"/>
        </w:rPr>
      </w:pPr>
      <w:r>
        <w:rPr>
          <w:rFonts w:hint="eastAsia" w:ascii="宋体" w:hAnsi="宋体"/>
        </w:rPr>
        <w:t>学分与学时的换算。一般</w:t>
      </w:r>
      <w:r>
        <w:rPr>
          <w:rFonts w:ascii="宋体" w:hAnsi="宋体"/>
        </w:rPr>
        <w:t>18</w:t>
      </w:r>
      <w:r>
        <w:rPr>
          <w:rFonts w:hint="eastAsia" w:ascii="宋体" w:hAnsi="宋体"/>
        </w:rPr>
        <w:t>学时计为</w:t>
      </w:r>
      <w:r>
        <w:rPr>
          <w:rFonts w:ascii="宋体" w:hAnsi="宋体"/>
        </w:rPr>
        <w:t>1</w:t>
      </w:r>
      <w:r>
        <w:rPr>
          <w:rFonts w:hint="eastAsia" w:ascii="宋体" w:hAnsi="宋体"/>
        </w:rPr>
        <w:t>个学分，三年制高职总学分一般不少于</w:t>
      </w:r>
      <w:r>
        <w:rPr>
          <w:rFonts w:ascii="宋体" w:hAnsi="宋体"/>
        </w:rPr>
        <w:t>1</w:t>
      </w:r>
      <w:r>
        <w:rPr>
          <w:rFonts w:hint="eastAsia" w:ascii="宋体" w:hAnsi="宋体"/>
        </w:rPr>
        <w:t>2</w:t>
      </w:r>
      <w:r>
        <w:rPr>
          <w:rFonts w:ascii="宋体" w:hAnsi="宋体"/>
        </w:rPr>
        <w:t>0</w:t>
      </w:r>
      <w:r>
        <w:rPr>
          <w:rFonts w:hint="eastAsia" w:ascii="宋体" w:hAnsi="宋体"/>
        </w:rPr>
        <w:t>学分。军训、入学教育、社会实践、毕业设计（或毕业论文、毕业教育）等，以</w:t>
      </w:r>
      <w:r>
        <w:rPr>
          <w:rFonts w:ascii="宋体" w:hAnsi="宋体"/>
        </w:rPr>
        <w:t>1</w:t>
      </w:r>
      <w:r>
        <w:rPr>
          <w:rFonts w:hint="eastAsia" w:ascii="宋体" w:hAnsi="宋体"/>
        </w:rPr>
        <w:t>周为</w:t>
      </w:r>
      <w:r>
        <w:rPr>
          <w:rFonts w:ascii="宋体" w:hAnsi="宋体"/>
        </w:rPr>
        <w:t>1</w:t>
      </w:r>
      <w:r>
        <w:rPr>
          <w:rFonts w:hint="eastAsia" w:ascii="宋体" w:hAnsi="宋体"/>
        </w:rPr>
        <w:t>学分。通识课程学时应不少于总学时的</w:t>
      </w:r>
      <w:r>
        <w:rPr>
          <w:rFonts w:ascii="宋体" w:hAnsi="宋体"/>
        </w:rPr>
        <w:t>25%</w:t>
      </w:r>
      <w:r>
        <w:rPr>
          <w:rFonts w:hint="eastAsia" w:ascii="宋体" w:hAnsi="宋体"/>
        </w:rPr>
        <w:t>，必须保证学生修完通识必修课程的内容和总学时数。选修课教学时数占总学时的比例均应不少于4</w:t>
      </w:r>
      <w:r>
        <w:rPr>
          <w:rFonts w:ascii="宋体" w:hAnsi="宋体"/>
        </w:rPr>
        <w:t>0%</w:t>
      </w:r>
      <w:r>
        <w:rPr>
          <w:rFonts w:hint="eastAsia" w:ascii="宋体" w:hAnsi="宋体"/>
        </w:rPr>
        <w:t>。学生顶岗实习一般为</w:t>
      </w:r>
      <w:r>
        <w:rPr>
          <w:rFonts w:ascii="宋体" w:hAnsi="宋体"/>
        </w:rPr>
        <w:t>6</w:t>
      </w:r>
      <w:r>
        <w:rPr>
          <w:rFonts w:hint="eastAsia" w:ascii="宋体" w:hAnsi="宋体"/>
        </w:rPr>
        <w:t>个月，可根据实际情况，采取工学交替、多学期、分段式等多种形式组织实施。</w:t>
      </w:r>
    </w:p>
    <w:p>
      <w:pPr>
        <w:spacing w:line="480" w:lineRule="exact"/>
        <w:ind w:firstLine="420" w:firstLineChars="200"/>
        <w:rPr>
          <w:rFonts w:ascii="宋体" w:hAnsi="宋体"/>
        </w:rPr>
      </w:pPr>
      <w:r>
        <w:rPr>
          <w:rFonts w:hint="eastAsia" w:ascii="宋体" w:hAnsi="宋体"/>
        </w:rPr>
        <w:t>2.2教学组织</w:t>
      </w:r>
    </w:p>
    <w:p>
      <w:pPr>
        <w:spacing w:line="480" w:lineRule="exact"/>
        <w:ind w:firstLine="420" w:firstLineChars="200"/>
        <w:rPr>
          <w:rFonts w:ascii="宋体" w:hAnsi="宋体"/>
        </w:rPr>
      </w:pPr>
      <w:r>
        <w:rPr>
          <w:rFonts w:hint="eastAsia" w:ascii="宋体" w:hAnsi="宋体"/>
        </w:rPr>
        <w:t>各课程的教学模式、组织方式见各课程的《课程标准》。教学模式包括网络教学（空中课堂）；视频教学；项目化课程；教学做一体化等。</w:t>
      </w:r>
    </w:p>
    <w:p>
      <w:pPr>
        <w:spacing w:line="480" w:lineRule="exact"/>
        <w:jc w:val="center"/>
        <w:rPr>
          <w:rFonts w:ascii="宋体" w:hAnsi="宋体"/>
        </w:rPr>
      </w:pPr>
      <w:r>
        <w:rPr>
          <w:rFonts w:hint="eastAsia" w:ascii="宋体" w:hAnsi="宋体"/>
        </w:rPr>
        <w:t>教学组织方式列表</w:t>
      </w:r>
    </w:p>
    <w:tbl>
      <w:tblPr>
        <w:tblStyle w:val="14"/>
        <w:tblW w:w="84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559"/>
        <w:gridCol w:w="1104"/>
        <w:gridCol w:w="2127"/>
        <w:gridCol w:w="1559"/>
        <w:gridCol w:w="14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序号</w:t>
            </w:r>
          </w:p>
        </w:tc>
        <w:tc>
          <w:tcPr>
            <w:tcW w:w="1559"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课程名称</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教学模式</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教学团队</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组织方式</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思政元素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1</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color w:val="000000"/>
                <w:kern w:val="0"/>
                <w:szCs w:val="21"/>
              </w:rPr>
            </w:pPr>
            <w:r>
              <w:rPr>
                <w:rFonts w:hint="eastAsia" w:ascii="宋体" w:hAnsi="宋体" w:eastAsia="宋体" w:cs="宋体"/>
                <w:i w:val="0"/>
                <w:color w:val="000000"/>
                <w:kern w:val="0"/>
                <w:sz w:val="18"/>
                <w:szCs w:val="18"/>
                <w:u w:val="none"/>
                <w:lang w:val="en-US" w:eastAsia="zh-CN" w:bidi="ar"/>
              </w:rPr>
              <w:t>军事理论</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color w:val="000000"/>
                <w:kern w:val="0"/>
              </w:rPr>
              <w:t>专任教师及兼职教师各</w:t>
            </w:r>
            <w:r>
              <w:rPr>
                <w:color w:val="000000"/>
                <w:kern w:val="0"/>
              </w:rPr>
              <w:t>1</w:t>
            </w:r>
            <w:r>
              <w:rPr>
                <w:rFonts w:hint="eastAsia" w:ascii="宋体" w:hAnsi="宋体"/>
                <w:color w:val="000000"/>
                <w:kern w:val="0"/>
              </w:rPr>
              <w:t>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color w:val="000000"/>
                <w:kern w:val="0"/>
              </w:rPr>
              <w:t>教师演示、师生互动</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ascii="宋体" w:hAnsi="宋体"/>
              </w:rPr>
            </w:pPr>
            <w:r>
              <w:rPr>
                <w:rFonts w:hint="eastAsia" w:ascii="宋体" w:hAnsi="宋体"/>
              </w:rPr>
              <w:t>纪律与规章意识、团队协作精神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思想道德修养与法律基础</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专任教师及兼职教师各1名</w:t>
            </w:r>
          </w:p>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实训指导教师2名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教师演示、师生互动</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纪律与规章意识、团队协作精神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毛泽东思想和中国特色社会主义理论概论</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形势与政策</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专任教师及兼职教师各1名</w:t>
            </w:r>
          </w:p>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实训指导教师5名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学生为主体，教师辅导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马克思主义中国化进程与青年使命担当</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专任教师、兼职教师各1名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教师演示、师生互动</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纪律与规章意识、团队协作精神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计算机应用基础</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专任教师及兼职教师各1名</w:t>
            </w:r>
          </w:p>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实训指导教师5名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学生为主体，教师辅导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rPr>
              <w:t>7</w:t>
            </w:r>
          </w:p>
        </w:tc>
        <w:tc>
          <w:tcPr>
            <w:tcW w:w="155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大学生职业生涯规划</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w:t>
            </w:r>
          </w:p>
        </w:tc>
        <w:tc>
          <w:tcPr>
            <w:tcW w:w="1559" w:type="dxa"/>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大学英语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w:t>
            </w:r>
          </w:p>
        </w:tc>
        <w:tc>
          <w:tcPr>
            <w:tcW w:w="1559" w:type="dxa"/>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高等数学</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w:t>
            </w:r>
          </w:p>
        </w:tc>
        <w:tc>
          <w:tcPr>
            <w:tcW w:w="1559" w:type="dxa"/>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大学语文</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测绘基础应用技能★</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数字测图★</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13</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不动产测绘</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14</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数据库原理与应用</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rPr>
              <w:t>专任教师及兼职教师各1名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教师演示、师生互动</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纪律与规章意识、团队协作精神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15</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工程测量★</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16</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误差理论与测量平差</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17</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测绘管理与法律法规</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18</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i w:val="0"/>
                <w:color w:val="000000"/>
                <w:kern w:val="0"/>
                <w:sz w:val="18"/>
                <w:szCs w:val="18"/>
                <w:u w:val="none"/>
                <w:lang w:val="en-US" w:eastAsia="zh-CN" w:bidi="ar"/>
              </w:rPr>
              <w:t>地理信息系统</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19</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color w:val="000000"/>
                <w:kern w:val="0"/>
                <w:sz w:val="18"/>
                <w:szCs w:val="18"/>
                <w:u w:val="none"/>
                <w:lang w:val="en-US" w:eastAsia="zh-CN" w:bidi="ar"/>
              </w:rPr>
              <w:t>控制测量★</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专任教师、兼职教师各5名，实训指导教师5名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20</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color w:val="000000"/>
                <w:kern w:val="0"/>
                <w:sz w:val="18"/>
                <w:szCs w:val="18"/>
                <w:u w:val="none"/>
                <w:lang w:val="en-US" w:eastAsia="zh-CN" w:bidi="ar"/>
              </w:rPr>
              <w:t>控制测量实训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21</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color w:val="000000"/>
                <w:kern w:val="0"/>
                <w:sz w:val="18"/>
                <w:szCs w:val="18"/>
                <w:u w:val="none"/>
                <w:lang w:val="en-US" w:eastAsia="zh-CN" w:bidi="ar"/>
              </w:rPr>
              <w:t>不动产测绘实训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22</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color w:val="000000"/>
                <w:kern w:val="0"/>
                <w:sz w:val="18"/>
                <w:szCs w:val="18"/>
                <w:u w:val="none"/>
                <w:lang w:val="en-US" w:eastAsia="zh-CN" w:bidi="ar"/>
              </w:rPr>
              <w:t>GNSS卫星定位测量</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23</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color w:val="000000"/>
                <w:kern w:val="0"/>
                <w:sz w:val="18"/>
                <w:szCs w:val="18"/>
                <w:u w:val="none"/>
                <w:lang w:val="en-US" w:eastAsia="zh-CN" w:bidi="ar"/>
              </w:rPr>
              <w:t>数字测图实训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专任教师、兼职教师各5名，实训指导教师5名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24</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工程测量实训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专任教师、兼职教师各5名，实训指导教师5名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25</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摄影测量与遥感</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26</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摄影测量与遥感实训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27</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地理信息系统实训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28</w:t>
            </w:r>
          </w:p>
        </w:tc>
        <w:tc>
          <w:tcPr>
            <w:tcW w:w="1559" w:type="dxa"/>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大学生职业发展与就业指导</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29</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毕业综合实训和生产(顶岗)实习★</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30</w:t>
            </w:r>
          </w:p>
        </w:tc>
        <w:tc>
          <w:tcPr>
            <w:tcW w:w="1559"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GNSS卫星定位测量实训</w:t>
            </w:r>
          </w:p>
        </w:tc>
        <w:tc>
          <w:tcPr>
            <w:tcW w:w="1104"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项目教学</w:t>
            </w:r>
          </w:p>
        </w:tc>
        <w:tc>
          <w:tcPr>
            <w:tcW w:w="2127" w:type="dxa"/>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专任教师、兼职教师各1名，实训指导教师3名</w:t>
            </w:r>
          </w:p>
        </w:tc>
        <w:tc>
          <w:tcPr>
            <w:tcW w:w="1559" w:type="dxa"/>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学生为主体，教师引导</w:t>
            </w:r>
          </w:p>
        </w:tc>
        <w:tc>
          <w:tcPr>
            <w:tcW w:w="1469"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职业素养、实践观</w:t>
            </w:r>
          </w:p>
        </w:tc>
      </w:tr>
    </w:tbl>
    <w:p>
      <w:pPr>
        <w:ind w:firstLine="420" w:firstLineChars="200"/>
      </w:pPr>
    </w:p>
    <w:p>
      <w:pPr>
        <w:ind w:firstLine="420" w:firstLineChars="200"/>
      </w:pPr>
      <w:r>
        <w:rPr>
          <w:rFonts w:hint="eastAsia"/>
        </w:rPr>
        <w:t>2.3项目教学和一体化教学的地点与时间安排</w:t>
      </w:r>
    </w:p>
    <w:p>
      <w:pPr>
        <w:spacing w:line="480" w:lineRule="exact"/>
        <w:ind w:firstLine="420"/>
        <w:jc w:val="left"/>
      </w:pPr>
      <w:r>
        <w:rPr>
          <w:rFonts w:hint="eastAsia"/>
        </w:rPr>
        <w:t>项目教学和一体化教学以承担生产任务、顶岗实习为主，时间安排在第五学期，亦可结合企业任务的情况对时间作调整，地点将根据企业任务而定，但必须体现分段培养与课程内容。</w:t>
      </w:r>
    </w:p>
    <w:p>
      <w:pPr>
        <w:pStyle w:val="2"/>
      </w:pPr>
      <w:r>
        <w:rPr>
          <w:rFonts w:hint="eastAsia"/>
        </w:rPr>
        <w:t>六、教学进程总体安排</w:t>
      </w:r>
      <w:bookmarkEnd w:id="28"/>
    </w:p>
    <w:p>
      <w:pPr>
        <w:spacing w:line="400" w:lineRule="exact"/>
        <w:ind w:firstLine="420" w:firstLineChars="200"/>
        <w:rPr>
          <w:rFonts w:asciiTheme="majorEastAsia" w:hAnsiTheme="majorEastAsia" w:eastAsiaTheme="majorEastAsia"/>
        </w:rPr>
      </w:pPr>
      <w:r>
        <w:rPr>
          <w:rFonts w:hint="eastAsia" w:asciiTheme="majorEastAsia" w:hAnsiTheme="majorEastAsia" w:eastAsiaTheme="majorEastAsia"/>
        </w:rPr>
        <w:t>教学进程总体安排是对本专业技术技能人才培养、教育教学实施进程的总体安排，是专业人才培养模式的具体体现，学校应尊重学生的学习规律，科学构建课程体系，注重各门课程的衔接，优化课程安排次序，明确学期周数分配，科学编制教学进程安排表。</w:t>
      </w:r>
    </w:p>
    <w:p>
      <w:pPr>
        <w:jc w:val="center"/>
        <w:rPr>
          <w:rFonts w:asciiTheme="majorEastAsia" w:hAnsiTheme="majorEastAsia" w:eastAsiaTheme="majorEastAsia"/>
        </w:rPr>
      </w:pPr>
    </w:p>
    <w:p>
      <w:pPr>
        <w:jc w:val="center"/>
        <w:rPr>
          <w:rFonts w:asciiTheme="majorEastAsia" w:hAnsiTheme="majorEastAsia" w:eastAsiaTheme="majorEastAsia"/>
        </w:rPr>
      </w:pPr>
      <w:r>
        <w:rPr>
          <w:rFonts w:hint="eastAsia" w:asciiTheme="majorEastAsia" w:hAnsiTheme="majorEastAsia" w:eastAsiaTheme="majorEastAsia"/>
        </w:rPr>
        <w:t>教学进程表</w:t>
      </w:r>
    </w:p>
    <w:p>
      <w:pPr>
        <w:rPr>
          <w:rFonts w:asciiTheme="majorEastAsia" w:hAnsiTheme="majorEastAsia" w:eastAsiaTheme="majorEastAsia"/>
        </w:rPr>
      </w:pP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368"/>
        <w:gridCol w:w="324"/>
        <w:gridCol w:w="382"/>
        <w:gridCol w:w="382"/>
        <w:gridCol w:w="381"/>
        <w:gridCol w:w="381"/>
        <w:gridCol w:w="381"/>
        <w:gridCol w:w="381"/>
        <w:gridCol w:w="381"/>
        <w:gridCol w:w="381"/>
        <w:gridCol w:w="381"/>
        <w:gridCol w:w="381"/>
        <w:gridCol w:w="381"/>
        <w:gridCol w:w="381"/>
        <w:gridCol w:w="381"/>
        <w:gridCol w:w="381"/>
        <w:gridCol w:w="381"/>
        <w:gridCol w:w="381"/>
        <w:gridCol w:w="381"/>
        <w:gridCol w:w="381"/>
        <w:gridCol w:w="381"/>
        <w:gridCol w:w="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5" w:hRule="atLeast"/>
        </w:trPr>
        <w:tc>
          <w:tcPr>
            <w:tcW w:w="692" w:type="dxa"/>
            <w:gridSpan w:val="2"/>
            <w:vAlign w:val="center"/>
          </w:tcPr>
          <w:p>
            <w:pPr>
              <w:tabs>
                <w:tab w:val="left" w:pos="0"/>
              </w:tabs>
              <w:spacing w:line="300" w:lineRule="auto"/>
              <w:ind w:left="52" w:hanging="52" w:hangingChars="26"/>
              <w:jc w:val="center"/>
              <w:rPr>
                <w:rFonts w:ascii="宋体" w:hAnsi="宋体"/>
                <w:b/>
                <w:kern w:val="0"/>
                <w:sz w:val="20"/>
                <w:szCs w:val="21"/>
              </w:rPr>
            </w:pPr>
            <w:r>
              <w:rPr>
                <w:rFonts w:hint="eastAsia" w:ascii="宋体" w:hAnsi="宋体"/>
                <w:b/>
                <w:kern w:val="0"/>
                <w:sz w:val="20"/>
                <w:szCs w:val="21"/>
              </w:rPr>
              <mc:AlternateContent>
                <mc:Choice Requires="wpg">
                  <w:drawing>
                    <wp:anchor distT="0" distB="0" distL="114300" distR="114300" simplePos="0" relativeHeight="251686912" behindDoc="0" locked="0" layoutInCell="1" allowOverlap="1">
                      <wp:simplePos x="0" y="0"/>
                      <wp:positionH relativeFrom="column">
                        <wp:posOffset>-32385</wp:posOffset>
                      </wp:positionH>
                      <wp:positionV relativeFrom="paragraph">
                        <wp:posOffset>-5715</wp:posOffset>
                      </wp:positionV>
                      <wp:extent cx="451485" cy="566420"/>
                      <wp:effectExtent l="5715" t="13335" r="9525" b="10795"/>
                      <wp:wrapNone/>
                      <wp:docPr id="33" name="组合 33"/>
                      <wp:cNvGraphicFramePr/>
                      <a:graphic xmlns:a="http://schemas.openxmlformats.org/drawingml/2006/main">
                        <a:graphicData uri="http://schemas.microsoft.com/office/word/2010/wordprocessingGroup">
                          <wpg:wgp>
                            <wpg:cNvGrpSpPr/>
                            <wpg:grpSpPr>
                              <a:xfrm>
                                <a:off x="0" y="0"/>
                                <a:ext cx="451485" cy="566420"/>
                                <a:chOff x="1082" y="10614"/>
                                <a:chExt cx="832" cy="953"/>
                              </a:xfrm>
                            </wpg:grpSpPr>
                            <wps:wsp>
                              <wps:cNvPr id="34" name="__TH_L18"/>
                              <wps:cNvCnPr/>
                              <wps:spPr bwMode="auto">
                                <a:xfrm>
                                  <a:off x="1082" y="10614"/>
                                  <a:ext cx="832" cy="953"/>
                                </a:xfrm>
                                <a:prstGeom prst="line">
                                  <a:avLst/>
                                </a:prstGeom>
                                <a:noFill/>
                                <a:ln w="6350">
                                  <a:solidFill>
                                    <a:srgbClr val="000000"/>
                                  </a:solidFill>
                                  <a:round/>
                                </a:ln>
                              </wps:spPr>
                              <wps:bodyPr/>
                            </wps:wsp>
                            <wps:wsp>
                              <wps:cNvPr id="35" name="__TH_B1119"/>
                              <wps:cNvSpPr txBox="1">
                                <a:spLocks noChangeArrowheads="1"/>
                              </wps:cNvSpPr>
                              <wps:spPr bwMode="auto">
                                <a:xfrm>
                                  <a:off x="1446" y="10699"/>
                                  <a:ext cx="197" cy="187"/>
                                </a:xfrm>
                                <a:prstGeom prst="rect">
                                  <a:avLst/>
                                </a:prstGeom>
                                <a:noFill/>
                                <a:ln>
                                  <a:noFill/>
                                </a:ln>
                              </wps:spPr>
                              <wps:txbx>
                                <w:txbxContent>
                                  <w:p>
                                    <w:pPr>
                                      <w:snapToGrid w:val="0"/>
                                      <w:rPr>
                                        <w:sz w:val="15"/>
                                      </w:rPr>
                                    </w:pPr>
                                    <w:r>
                                      <w:rPr>
                                        <w:rFonts w:hint="eastAsia"/>
                                        <w:sz w:val="15"/>
                                      </w:rPr>
                                      <w:t>周</w:t>
                                    </w:r>
                                  </w:p>
                                </w:txbxContent>
                              </wps:txbx>
                              <wps:bodyPr rot="0" vert="horz" wrap="square" lIns="0" tIns="0" rIns="0" bIns="0" anchor="t" anchorCtr="0" upright="1">
                                <a:noAutofit/>
                              </wps:bodyPr>
                            </wps:wsp>
                            <wps:wsp>
                              <wps:cNvPr id="36" name="__TH_B1220"/>
                              <wps:cNvSpPr txBox="1">
                                <a:spLocks noChangeArrowheads="1"/>
                              </wps:cNvSpPr>
                              <wps:spPr bwMode="auto">
                                <a:xfrm>
                                  <a:off x="1626" y="10905"/>
                                  <a:ext cx="198" cy="188"/>
                                </a:xfrm>
                                <a:prstGeom prst="rect">
                                  <a:avLst/>
                                </a:prstGeom>
                                <a:noFill/>
                                <a:ln>
                                  <a:noFill/>
                                </a:ln>
                              </wps:spPr>
                              <wps:txbx>
                                <w:txbxContent>
                                  <w:p>
                                    <w:pPr>
                                      <w:snapToGrid w:val="0"/>
                                      <w:rPr>
                                        <w:sz w:val="15"/>
                                      </w:rPr>
                                    </w:pPr>
                                    <w:r>
                                      <w:rPr>
                                        <w:rFonts w:hint="eastAsia"/>
                                        <w:sz w:val="15"/>
                                      </w:rPr>
                                      <w:t>次</w:t>
                                    </w:r>
                                  </w:p>
                                </w:txbxContent>
                              </wps:txbx>
                              <wps:bodyPr rot="0" vert="horz" wrap="square" lIns="0" tIns="0" rIns="0" bIns="0" anchor="t" anchorCtr="0" upright="1">
                                <a:noAutofit/>
                              </wps:bodyPr>
                            </wps:wsp>
                            <wps:wsp>
                              <wps:cNvPr id="37" name="__TH_B2121"/>
                              <wps:cNvSpPr txBox="1">
                                <a:spLocks noChangeArrowheads="1"/>
                              </wps:cNvSpPr>
                              <wps:spPr bwMode="auto">
                                <a:xfrm>
                                  <a:off x="1181" y="11039"/>
                                  <a:ext cx="198" cy="187"/>
                                </a:xfrm>
                                <a:prstGeom prst="rect">
                                  <a:avLst/>
                                </a:prstGeom>
                                <a:noFill/>
                                <a:ln>
                                  <a:noFill/>
                                </a:ln>
                              </wps:spPr>
                              <wps:txbx>
                                <w:txbxContent>
                                  <w:p>
                                    <w:pPr>
                                      <w:snapToGrid w:val="0"/>
                                      <w:rPr>
                                        <w:sz w:val="15"/>
                                      </w:rPr>
                                    </w:pPr>
                                    <w:r>
                                      <w:rPr>
                                        <w:rFonts w:hint="eastAsia"/>
                                        <w:sz w:val="15"/>
                                      </w:rPr>
                                      <w:t>学</w:t>
                                    </w:r>
                                  </w:p>
                                </w:txbxContent>
                              </wps:txbx>
                              <wps:bodyPr rot="0" vert="horz" wrap="square" lIns="0" tIns="0" rIns="0" bIns="0" anchor="t" anchorCtr="0" upright="1">
                                <a:noAutofit/>
                              </wps:bodyPr>
                            </wps:wsp>
                            <wps:wsp>
                              <wps:cNvPr id="38" name="__TH_B2222"/>
                              <wps:cNvSpPr txBox="1">
                                <a:spLocks noChangeArrowheads="1"/>
                              </wps:cNvSpPr>
                              <wps:spPr bwMode="auto">
                                <a:xfrm>
                                  <a:off x="1390" y="11278"/>
                                  <a:ext cx="198" cy="188"/>
                                </a:xfrm>
                                <a:prstGeom prst="rect">
                                  <a:avLst/>
                                </a:prstGeom>
                                <a:noFill/>
                                <a:ln>
                                  <a:noFill/>
                                </a:ln>
                              </wps:spPr>
                              <wps:txbx>
                                <w:txbxContent>
                                  <w:p>
                                    <w:pPr>
                                      <w:snapToGrid w:val="0"/>
                                      <w:rPr>
                                        <w:sz w:val="15"/>
                                      </w:rPr>
                                    </w:pPr>
                                    <w:r>
                                      <w:rPr>
                                        <w:rFonts w:hint="eastAsia"/>
                                        <w:sz w:val="15"/>
                                      </w:rPr>
                                      <w:t>期</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2.55pt;margin-top:-0.45pt;height:44.6pt;width:35.55pt;z-index:251686912;mso-width-relative:page;mso-height-relative:page;" coordorigin="1082,10614" coordsize="832,953" o:gfxdata="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Lrx3eXXAAAABgEA&#10;AA8AAAAAAAAAAQAgAAAAIgAAAGRycy9kb3ducmV2LnhtbFBLAQIUABQAAAAIAIdO4kCYdPkoOAMA&#10;APMMAAAOAAAAAAAAAAEAIAAAACYBAABkcnMvZTJvRG9jLnhtbFBLBQYAAAAABgAGAFkBAADQBgAA&#10;AAA=&#10;">
                      <o:lock v:ext="edit" aspectratio="f"/>
                      <v:line id="__TH_L18" o:spid="_x0000_s1026" o:spt="20" style="position:absolute;left:1082;top:10614;height:953;width:832;" filled="f" stroked="t" coordsize="21600,21600" o:gfxdata="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Ud8L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__TH_B1119" o:spid="_x0000_s1026" o:spt="202" type="#_x0000_t202" style="position:absolute;left:1446;top:10699;height:187;width:197;" filled="f" stroked="f" coordsize="21600,21600" o:gfxdata="UEsDBAoAAAAAAIdO4kAAAAAAAAAAAAAAAAAEAAAAZHJzL1BLAwQUAAAACACHTuJAUcgOQL4AAADb&#10;AAAADwAAAGRycy9kb3ducmV2LnhtbEWPQWsCMRSE70L/Q3gFb5pYU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cgOQ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sz w:val="15"/>
                                </w:rPr>
                              </w:pPr>
                              <w:r>
                                <w:rPr>
                                  <w:rFonts w:hint="eastAsia"/>
                                  <w:sz w:val="15"/>
                                </w:rPr>
                                <w:t>周</w:t>
                              </w:r>
                            </w:p>
                          </w:txbxContent>
                        </v:textbox>
                      </v:shape>
                      <v:shape id="__TH_B1220" o:spid="_x0000_s1026" o:spt="202" type="#_x0000_t202" style="position:absolute;left:1626;top:10905;height:188;width:198;" filled="f" stroked="f" coordsize="21600,21600" o:gfxdata="UEsDBAoAAAAAAIdO4kAAAAAAAAAAAAAAAAAEAAAAZHJzL1BLAwQUAAAACACHTuJAoRqQN70AAADb&#10;AAAADwAAAGRycy9kb3ducmV2LnhtbEWPQWsCMRSE7wX/Q3hCbzWxha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pA3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rPr>
                                  <w:sz w:val="15"/>
                                </w:rPr>
                              </w:pPr>
                              <w:r>
                                <w:rPr>
                                  <w:rFonts w:hint="eastAsia"/>
                                  <w:sz w:val="15"/>
                                </w:rPr>
                                <w:t>次</w:t>
                              </w:r>
                            </w:p>
                          </w:txbxContent>
                        </v:textbox>
                      </v:shape>
                      <v:shape id="__TH_B2121" o:spid="_x0000_s1026" o:spt="202" type="#_x0000_t202" style="position:absolute;left:1181;top:11039;height:187;width:198;"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sz w:val="15"/>
                                </w:rPr>
                              </w:pPr>
                              <w:r>
                                <w:rPr>
                                  <w:rFonts w:hint="eastAsia"/>
                                  <w:sz w:val="15"/>
                                </w:rPr>
                                <w:t>学</w:t>
                              </w:r>
                            </w:p>
                          </w:txbxContent>
                        </v:textbox>
                      </v:shape>
                      <v:shape id="__TH_B2222" o:spid="_x0000_s1026" o:spt="202" type="#_x0000_t202" style="position:absolute;left:1390;top:11278;height:188;width:198;"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napToGrid w:val="0"/>
                                <w:rPr>
                                  <w:sz w:val="15"/>
                                </w:rPr>
                              </w:pPr>
                              <w:r>
                                <w:rPr>
                                  <w:rFonts w:hint="eastAsia"/>
                                  <w:sz w:val="15"/>
                                </w:rPr>
                                <w:t>期</w:t>
                              </w:r>
                            </w:p>
                          </w:txbxContent>
                        </v:textbox>
                      </v:shape>
                    </v:group>
                  </w:pict>
                </mc:Fallback>
              </mc:AlternateContent>
            </w:r>
          </w:p>
        </w:tc>
        <w:tc>
          <w:tcPr>
            <w:tcW w:w="382"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w:t>
            </w:r>
          </w:p>
        </w:tc>
        <w:tc>
          <w:tcPr>
            <w:tcW w:w="382"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2</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3</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4</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5</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6</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7</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8</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9</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10</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11</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12</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13</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14</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15</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16</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17</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18</w:t>
            </w:r>
          </w:p>
        </w:tc>
        <w:tc>
          <w:tcPr>
            <w:tcW w:w="381"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19</w:t>
            </w:r>
          </w:p>
        </w:tc>
        <w:tc>
          <w:tcPr>
            <w:tcW w:w="379" w:type="dxa"/>
            <w:vAlign w:val="center"/>
          </w:tcPr>
          <w:p>
            <w:pPr>
              <w:spacing w:line="300" w:lineRule="auto"/>
              <w:jc w:val="center"/>
              <w:rPr>
                <w:rFonts w:ascii="Times New Roman" w:hAnsi="Times New Roman"/>
                <w:kern w:val="0"/>
                <w:sz w:val="18"/>
                <w:szCs w:val="18"/>
              </w:rPr>
            </w:pPr>
            <w:r>
              <w:rPr>
                <w:rFonts w:ascii="Times New Roman" w:hAnsi="Times New Roman"/>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 w:hRule="atLeast"/>
        </w:trPr>
        <w:tc>
          <w:tcPr>
            <w:tcW w:w="368" w:type="dxa"/>
            <w:vMerge w:val="restart"/>
            <w:vAlign w:val="center"/>
          </w:tcPr>
          <w:p>
            <w:pPr>
              <w:spacing w:line="300" w:lineRule="auto"/>
              <w:jc w:val="center"/>
              <w:rPr>
                <w:rFonts w:ascii="宋体" w:hAnsi="宋体"/>
                <w:kern w:val="0"/>
                <w:sz w:val="20"/>
                <w:szCs w:val="21"/>
              </w:rPr>
            </w:pPr>
            <w:r>
              <w:rPr>
                <w:rFonts w:hint="eastAsia" w:ascii="宋体" w:hAnsi="宋体"/>
                <w:kern w:val="0"/>
                <w:sz w:val="20"/>
                <w:szCs w:val="21"/>
              </w:rPr>
              <w:t>一</w:t>
            </w:r>
          </w:p>
        </w:tc>
        <w:tc>
          <w:tcPr>
            <w:tcW w:w="324" w:type="dxa"/>
            <w:vAlign w:val="center"/>
          </w:tcPr>
          <w:p>
            <w:pPr>
              <w:spacing w:line="300" w:lineRule="auto"/>
              <w:jc w:val="center"/>
              <w:rPr>
                <w:rFonts w:ascii="Arial" w:hAnsi="Arial" w:cs="Arial"/>
                <w:kern w:val="0"/>
                <w:sz w:val="20"/>
                <w:szCs w:val="21"/>
              </w:rPr>
            </w:pPr>
            <w:r>
              <w:rPr>
                <w:rFonts w:ascii="Arial" w:hAnsi="Arial" w:cs="Arial"/>
                <w:kern w:val="0"/>
                <w:sz w:val="20"/>
                <w:szCs w:val="21"/>
              </w:rPr>
              <w:t>1</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mc:AlternateContent>
                <mc:Choice Requires="wps">
                  <w:drawing>
                    <wp:anchor distT="0" distB="0" distL="114300" distR="114300" simplePos="0" relativeHeight="251687936" behindDoc="0" locked="0" layoutInCell="1" allowOverlap="1">
                      <wp:simplePos x="0" y="0"/>
                      <wp:positionH relativeFrom="column">
                        <wp:posOffset>32385</wp:posOffset>
                      </wp:positionH>
                      <wp:positionV relativeFrom="paragraph">
                        <wp:posOffset>135255</wp:posOffset>
                      </wp:positionV>
                      <wp:extent cx="3540760" cy="0"/>
                      <wp:effectExtent l="13335" t="59055" r="17780" b="55245"/>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a:off x="0" y="0"/>
                                <a:ext cx="3540760"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55pt;margin-top:10.65pt;height:0pt;width:278.8pt;z-index:251687936;mso-width-relative:page;mso-height-relative:page;" filled="f" stroked="t" coordsize="21600,21600" o:gfxdata="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VRX7dYAAAAH&#10;AQAADwAAAAAAAAABACAAAAAiAAAAZHJzL2Rvd25yZXYueG1sUEsBAhQAFAAAAAgAh07iQDp0BkDl&#10;AQAAjAMAAA4AAAAAAAAAAQAgAAAAJQEAAGRycy9lMm9Eb2MueG1sUEsFBgAAAAAGAAYAWQEAAHwF&#10;AAAAAA==&#10;">
                      <v:fill on="f" focussize="0,0"/>
                      <v:stroke color="#000000" joinstyle="round" endarrow="block"/>
                      <v:imagedata o:title=""/>
                      <o:lock v:ext="edit" aspectratio="f"/>
                    </v:line>
                  </w:pict>
                </mc:Fallback>
              </mc:AlternateContent>
            </w: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79" w:type="dxa"/>
            <w:vAlign w:val="center"/>
          </w:tcPr>
          <w:p>
            <w:pPr>
              <w:spacing w:line="300" w:lineRule="auto"/>
              <w:jc w:val="center"/>
              <w:rPr>
                <w:rFonts w:ascii="宋体" w:hAnsi="宋体"/>
                <w:kern w:val="0"/>
                <w:sz w:val="20"/>
                <w:szCs w:val="21"/>
              </w:rPr>
            </w:pPr>
            <w:r>
              <w:rPr>
                <w:rFonts w:ascii="Times New Roman" w:hAnsi="Times New Roman"/>
                <w:kern w:val="0"/>
                <w:sz w:val="2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 w:hRule="atLeast"/>
        </w:trPr>
        <w:tc>
          <w:tcPr>
            <w:tcW w:w="368" w:type="dxa"/>
            <w:vMerge w:val="continue"/>
            <w:vAlign w:val="center"/>
          </w:tcPr>
          <w:p>
            <w:pPr>
              <w:spacing w:line="300" w:lineRule="auto"/>
              <w:jc w:val="center"/>
              <w:rPr>
                <w:rFonts w:ascii="宋体" w:hAnsi="宋体"/>
                <w:kern w:val="0"/>
                <w:sz w:val="20"/>
                <w:szCs w:val="21"/>
              </w:rPr>
            </w:pPr>
          </w:p>
        </w:tc>
        <w:tc>
          <w:tcPr>
            <w:tcW w:w="324" w:type="dxa"/>
            <w:vAlign w:val="center"/>
          </w:tcPr>
          <w:p>
            <w:pPr>
              <w:spacing w:line="300" w:lineRule="auto"/>
              <w:jc w:val="center"/>
              <w:rPr>
                <w:rFonts w:ascii="Arial" w:hAnsi="Arial" w:cs="Arial"/>
                <w:kern w:val="0"/>
                <w:sz w:val="20"/>
                <w:szCs w:val="21"/>
              </w:rPr>
            </w:pPr>
            <w:r>
              <w:rPr>
                <w:rFonts w:ascii="Arial" w:hAnsi="Arial" w:cs="Arial"/>
                <w:kern w:val="0"/>
                <w:sz w:val="20"/>
                <w:szCs w:val="21"/>
              </w:rPr>
              <w:t>2</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mc:AlternateContent>
                <mc:Choice Requires="wps">
                  <w:drawing>
                    <wp:anchor distT="0" distB="0" distL="114300" distR="114300" simplePos="0" relativeHeight="251688960" behindDoc="0" locked="0" layoutInCell="1" allowOverlap="1">
                      <wp:simplePos x="0" y="0"/>
                      <wp:positionH relativeFrom="column">
                        <wp:posOffset>26035</wp:posOffset>
                      </wp:positionH>
                      <wp:positionV relativeFrom="paragraph">
                        <wp:posOffset>134620</wp:posOffset>
                      </wp:positionV>
                      <wp:extent cx="3531235" cy="0"/>
                      <wp:effectExtent l="6985" t="58420" r="14605" b="55880"/>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05pt;margin-top:10.6pt;height:0pt;width:278.05pt;z-index:251688960;mso-width-relative:page;mso-height-relative:page;" filled="f" stroked="t" coordsize="21600,21600" o:gfxdata="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qL1ANYAAAAHAQAA&#10;DwAAAAAAAAABACAAAAAiAAAAZHJzL2Rvd25yZXYueG1sUEsBAhQAFAAAAAgAh07iQN44fu3iAQAA&#10;jAMAAA4AAAAAAAAAAQAgAAAAJQEAAGRycy9lMm9Eb2MueG1sUEsFBgAAAAAGAAYAWQEAAHkFAAAA&#10;AA==&#10;">
                      <v:fill on="f" focussize="0,0"/>
                      <v:stroke color="#000000" joinstyle="round" endarrow="block"/>
                      <v:imagedata o:title=""/>
                      <o:lock v:ext="edit" aspectratio="f"/>
                    </v:line>
                  </w:pict>
                </mc:Fallback>
              </mc:AlternateContent>
            </w:r>
          </w:p>
        </w:tc>
        <w:tc>
          <w:tcPr>
            <w:tcW w:w="382"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79" w:type="dxa"/>
            <w:vAlign w:val="center"/>
          </w:tcPr>
          <w:p>
            <w:pPr>
              <w:spacing w:line="300" w:lineRule="auto"/>
              <w:jc w:val="center"/>
              <w:rPr>
                <w:rFonts w:ascii="宋体" w:hAnsi="宋体"/>
                <w:kern w:val="0"/>
                <w:sz w:val="20"/>
                <w:szCs w:val="21"/>
              </w:rPr>
            </w:pPr>
            <w:r>
              <w:rPr>
                <w:rFonts w:ascii="Times New Roman" w:hAnsi="Times New Roman"/>
                <w:kern w:val="0"/>
                <w:sz w:val="2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 w:hRule="atLeast"/>
        </w:trPr>
        <w:tc>
          <w:tcPr>
            <w:tcW w:w="368" w:type="dxa"/>
            <w:vMerge w:val="restart"/>
            <w:vAlign w:val="center"/>
          </w:tcPr>
          <w:p>
            <w:pPr>
              <w:spacing w:line="300" w:lineRule="auto"/>
              <w:jc w:val="center"/>
              <w:rPr>
                <w:rFonts w:ascii="宋体" w:hAnsi="宋体"/>
                <w:kern w:val="0"/>
                <w:sz w:val="20"/>
                <w:szCs w:val="21"/>
              </w:rPr>
            </w:pPr>
            <w:r>
              <w:rPr>
                <w:rFonts w:hint="eastAsia" w:ascii="宋体" w:hAnsi="宋体"/>
                <w:kern w:val="0"/>
                <w:sz w:val="20"/>
                <w:szCs w:val="21"/>
              </w:rPr>
              <w:t>二</w:t>
            </w:r>
          </w:p>
        </w:tc>
        <w:tc>
          <w:tcPr>
            <w:tcW w:w="324" w:type="dxa"/>
            <w:vAlign w:val="center"/>
          </w:tcPr>
          <w:p>
            <w:pPr>
              <w:spacing w:line="300" w:lineRule="auto"/>
              <w:jc w:val="center"/>
              <w:rPr>
                <w:rFonts w:ascii="Arial" w:hAnsi="Arial" w:cs="Arial"/>
                <w:kern w:val="0"/>
                <w:sz w:val="20"/>
                <w:szCs w:val="21"/>
              </w:rPr>
            </w:pPr>
            <w:r>
              <w:rPr>
                <w:rFonts w:ascii="Arial" w:hAnsi="Arial" w:cs="Arial"/>
                <w:kern w:val="0"/>
                <w:sz w:val="20"/>
                <w:szCs w:val="21"/>
              </w:rPr>
              <w:t>3</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mc:AlternateContent>
                <mc:Choice Requires="wps">
                  <w:drawing>
                    <wp:anchor distT="0" distB="0" distL="114300" distR="114300" simplePos="0" relativeHeight="251689984" behindDoc="0" locked="0" layoutInCell="1" allowOverlap="1">
                      <wp:simplePos x="0" y="0"/>
                      <wp:positionH relativeFrom="column">
                        <wp:posOffset>6350</wp:posOffset>
                      </wp:positionH>
                      <wp:positionV relativeFrom="paragraph">
                        <wp:posOffset>139065</wp:posOffset>
                      </wp:positionV>
                      <wp:extent cx="2828290" cy="0"/>
                      <wp:effectExtent l="6350" t="53340" r="22860" b="60960"/>
                      <wp:wrapNone/>
                      <wp:docPr id="30" name="直接连接符 30"/>
                      <wp:cNvGraphicFramePr/>
                      <a:graphic xmlns:a="http://schemas.openxmlformats.org/drawingml/2006/main">
                        <a:graphicData uri="http://schemas.microsoft.com/office/word/2010/wordprocessingShape">
                          <wps:wsp>
                            <wps:cNvCnPr>
                              <a:cxnSpLocks noChangeShapeType="1"/>
                            </wps:cNvCnPr>
                            <wps:spPr bwMode="auto">
                              <a:xfrm>
                                <a:off x="0" y="0"/>
                                <a:ext cx="2828290"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0.5pt;margin-top:10.95pt;height:0pt;width:222.7pt;z-index:251689984;mso-width-relative:page;mso-height-relative:page;" filled="f" stroked="t" coordsize="21600,21600" o:gfxdata="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eSr2X1wAAAAcB&#10;AAAPAAAAAAAAAAEAIAAAACIAAABkcnMvZG93bnJldi54bWxQSwECFAAUAAAACACHTuJAD0h2FOMB&#10;AACMAwAADgAAAAAAAAABACAAAAAmAQAAZHJzL2Uyb0RvYy54bWxQSwUGAAAAAAYABgBZAQAAewUA&#10;AAAA&#10;">
                      <v:fill on="f" focussize="0,0"/>
                      <v:stroke color="#000000" joinstyle="round" endarrow="block"/>
                      <v:imagedata o:title=""/>
                      <o:lock v:ext="edit" aspectratio="f"/>
                    </v:line>
                  </w:pict>
                </mc:Fallback>
              </mc:AlternateContent>
            </w:r>
          </w:p>
        </w:tc>
        <w:tc>
          <w:tcPr>
            <w:tcW w:w="382"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79" w:type="dxa"/>
            <w:vAlign w:val="center"/>
          </w:tcPr>
          <w:p>
            <w:pPr>
              <w:spacing w:line="300" w:lineRule="auto"/>
              <w:jc w:val="center"/>
              <w:rPr>
                <w:rFonts w:ascii="宋体" w:hAnsi="宋体"/>
                <w:kern w:val="0"/>
                <w:sz w:val="20"/>
                <w:szCs w:val="21"/>
              </w:rPr>
            </w:pPr>
            <w:r>
              <w:rPr>
                <w:rFonts w:ascii="Times New Roman" w:hAnsi="Times New Roman"/>
                <w:kern w:val="0"/>
                <w:sz w:val="2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4" w:hRule="atLeast"/>
        </w:trPr>
        <w:tc>
          <w:tcPr>
            <w:tcW w:w="368" w:type="dxa"/>
            <w:vMerge w:val="continue"/>
            <w:vAlign w:val="center"/>
          </w:tcPr>
          <w:p>
            <w:pPr>
              <w:spacing w:line="300" w:lineRule="auto"/>
              <w:jc w:val="center"/>
              <w:rPr>
                <w:rFonts w:ascii="宋体" w:hAnsi="宋体"/>
                <w:kern w:val="0"/>
                <w:sz w:val="20"/>
                <w:szCs w:val="21"/>
              </w:rPr>
            </w:pPr>
          </w:p>
        </w:tc>
        <w:tc>
          <w:tcPr>
            <w:tcW w:w="324" w:type="dxa"/>
            <w:vAlign w:val="center"/>
          </w:tcPr>
          <w:p>
            <w:pPr>
              <w:spacing w:line="300" w:lineRule="auto"/>
              <w:jc w:val="center"/>
              <w:rPr>
                <w:rFonts w:ascii="Arial" w:hAnsi="Arial" w:cs="Arial"/>
                <w:kern w:val="0"/>
                <w:sz w:val="20"/>
                <w:szCs w:val="21"/>
              </w:rPr>
            </w:pPr>
            <w:r>
              <w:rPr>
                <w:rFonts w:ascii="Arial" w:hAnsi="Arial" w:cs="Arial"/>
                <w:kern w:val="0"/>
                <w:sz w:val="20"/>
                <w:szCs w:val="21"/>
              </w:rPr>
              <w:t>4</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mc:AlternateContent>
                <mc:Choice Requires="wps">
                  <w:drawing>
                    <wp:anchor distT="0" distB="0" distL="114300" distR="114300" simplePos="0" relativeHeight="251691008" behindDoc="0" locked="0" layoutInCell="1" allowOverlap="1">
                      <wp:simplePos x="0" y="0"/>
                      <wp:positionH relativeFrom="column">
                        <wp:posOffset>16510</wp:posOffset>
                      </wp:positionH>
                      <wp:positionV relativeFrom="paragraph">
                        <wp:posOffset>138430</wp:posOffset>
                      </wp:positionV>
                      <wp:extent cx="2779395" cy="0"/>
                      <wp:effectExtent l="6985" t="52705" r="23495" b="61595"/>
                      <wp:wrapNone/>
                      <wp:docPr id="29" name="直接连接符 29"/>
                      <wp:cNvGraphicFramePr/>
                      <a:graphic xmlns:a="http://schemas.openxmlformats.org/drawingml/2006/main">
                        <a:graphicData uri="http://schemas.microsoft.com/office/word/2010/wordprocessingShape">
                          <wps:wsp>
                            <wps:cNvCnPr>
                              <a:cxnSpLocks noChangeShapeType="1"/>
                            </wps:cNvCnPr>
                            <wps:spPr bwMode="auto">
                              <a:xfrm>
                                <a:off x="0" y="0"/>
                                <a:ext cx="2779395"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1.3pt;margin-top:10.9pt;height:0pt;width:218.85pt;z-index:251691008;mso-width-relative:page;mso-height-relative:page;" filled="f" stroked="t" coordsize="21600,21600" o:gfxdata="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rl9wdcAAAAH&#10;AQAADwAAAAAAAAABACAAAAAiAAAAZHJzL2Rvd25yZXYueG1sUEsBAhQAFAAAAAgAh07iQMtM5BPk&#10;AQAAjAMAAA4AAAAAAAAAAQAgAAAAJgEAAGRycy9lMm9Eb2MueG1sUEsFBgAAAAAGAAYAWQEAAHwF&#10;AAAAAA==&#10;">
                      <v:fill on="f" focussize="0,0"/>
                      <v:stroke color="#000000" joinstyle="round" endarrow="block"/>
                      <v:imagedata o:title=""/>
                      <o:lock v:ext="edit" aspectratio="f"/>
                    </v:line>
                  </w:pict>
                </mc:Fallback>
              </mc:AlternateContent>
            </w:r>
          </w:p>
        </w:tc>
        <w:tc>
          <w:tcPr>
            <w:tcW w:w="382"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79" w:type="dxa"/>
            <w:vAlign w:val="center"/>
          </w:tcPr>
          <w:p>
            <w:pPr>
              <w:spacing w:line="300" w:lineRule="auto"/>
              <w:jc w:val="center"/>
              <w:rPr>
                <w:rFonts w:ascii="宋体" w:hAnsi="宋体"/>
                <w:kern w:val="0"/>
                <w:sz w:val="20"/>
                <w:szCs w:val="21"/>
              </w:rPr>
            </w:pPr>
            <w:r>
              <w:rPr>
                <w:rFonts w:ascii="Times New Roman" w:hAnsi="Times New Roman"/>
                <w:kern w:val="0"/>
                <w:sz w:val="2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 w:hRule="atLeast"/>
        </w:trPr>
        <w:tc>
          <w:tcPr>
            <w:tcW w:w="368" w:type="dxa"/>
            <w:vMerge w:val="restart"/>
            <w:vAlign w:val="center"/>
          </w:tcPr>
          <w:p>
            <w:pPr>
              <w:spacing w:line="300" w:lineRule="auto"/>
              <w:jc w:val="center"/>
              <w:rPr>
                <w:rFonts w:ascii="宋体" w:hAnsi="宋体"/>
                <w:kern w:val="0"/>
                <w:sz w:val="20"/>
                <w:szCs w:val="21"/>
              </w:rPr>
            </w:pPr>
            <w:r>
              <w:rPr>
                <w:rFonts w:hint="eastAsia" w:ascii="宋体" w:hAnsi="宋体"/>
                <w:kern w:val="0"/>
                <w:sz w:val="20"/>
                <w:szCs w:val="21"/>
              </w:rPr>
              <w:t>三</w:t>
            </w:r>
          </w:p>
        </w:tc>
        <w:tc>
          <w:tcPr>
            <w:tcW w:w="324" w:type="dxa"/>
            <w:vAlign w:val="center"/>
          </w:tcPr>
          <w:p>
            <w:pPr>
              <w:spacing w:line="300" w:lineRule="auto"/>
              <w:jc w:val="center"/>
              <w:rPr>
                <w:rFonts w:ascii="Arial" w:hAnsi="Arial" w:cs="Arial"/>
                <w:kern w:val="0"/>
                <w:sz w:val="20"/>
                <w:szCs w:val="21"/>
              </w:rPr>
            </w:pPr>
            <w:r>
              <w:rPr>
                <w:rFonts w:ascii="Arial" w:hAnsi="Arial" w:cs="Arial"/>
                <w:kern w:val="0"/>
                <w:sz w:val="20"/>
                <w:szCs w:val="21"/>
              </w:rPr>
              <w:t>5</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79" w:type="dxa"/>
            <w:vAlign w:val="center"/>
          </w:tcPr>
          <w:p>
            <w:pPr>
              <w:spacing w:line="300" w:lineRule="auto"/>
              <w:jc w:val="center"/>
              <w:rPr>
                <w:rFonts w:ascii="宋体" w:hAnsi="宋体"/>
                <w:kern w:val="0"/>
                <w:sz w:val="20"/>
                <w:szCs w:val="21"/>
              </w:rPr>
            </w:pPr>
            <w:r>
              <w:rPr>
                <w:rFonts w:ascii="Times New Roman" w:hAnsi="Times New Roman"/>
                <w:kern w:val="0"/>
                <w:sz w:val="2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0" w:hRule="atLeast"/>
        </w:trPr>
        <w:tc>
          <w:tcPr>
            <w:tcW w:w="368" w:type="dxa"/>
            <w:vMerge w:val="continue"/>
            <w:vAlign w:val="center"/>
          </w:tcPr>
          <w:p>
            <w:pPr>
              <w:spacing w:line="300" w:lineRule="auto"/>
              <w:jc w:val="center"/>
              <w:rPr>
                <w:rFonts w:ascii="宋体" w:hAnsi="宋体"/>
                <w:kern w:val="0"/>
                <w:sz w:val="20"/>
                <w:szCs w:val="21"/>
              </w:rPr>
            </w:pPr>
          </w:p>
        </w:tc>
        <w:tc>
          <w:tcPr>
            <w:tcW w:w="324" w:type="dxa"/>
            <w:vAlign w:val="center"/>
          </w:tcPr>
          <w:p>
            <w:pPr>
              <w:spacing w:line="300" w:lineRule="auto"/>
              <w:jc w:val="center"/>
              <w:rPr>
                <w:rFonts w:ascii="Arial" w:hAnsi="Arial" w:cs="Arial"/>
                <w:kern w:val="0"/>
                <w:sz w:val="20"/>
                <w:szCs w:val="21"/>
              </w:rPr>
            </w:pPr>
            <w:r>
              <w:rPr>
                <w:rFonts w:ascii="Arial" w:hAnsi="Arial" w:cs="Arial"/>
                <w:kern w:val="0"/>
                <w:sz w:val="20"/>
                <w:szCs w:val="21"/>
              </w:rPr>
              <w:t>6</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2"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宋体" w:hAnsi="宋体"/>
                <w:kern w:val="0"/>
                <w:sz w:val="20"/>
                <w:szCs w:val="21"/>
              </w:rPr>
            </w:pPr>
            <w:r>
              <w:rPr>
                <w:rFonts w:hint="eastAsia" w:ascii="宋体" w:hAnsi="宋体"/>
                <w:kern w:val="0"/>
                <w:sz w:val="20"/>
                <w:szCs w:val="21"/>
              </w:rPr>
              <w:t>×</w:t>
            </w:r>
          </w:p>
        </w:tc>
        <w:tc>
          <w:tcPr>
            <w:tcW w:w="381" w:type="dxa"/>
            <w:vAlign w:val="center"/>
          </w:tcPr>
          <w:p>
            <w:pPr>
              <w:spacing w:line="300" w:lineRule="auto"/>
              <w:jc w:val="center"/>
              <w:rPr>
                <w:rFonts w:ascii="Times New Roman" w:hAnsi="Times New Roman"/>
                <w:kern w:val="0"/>
                <w:sz w:val="20"/>
                <w:szCs w:val="21"/>
              </w:rPr>
            </w:pPr>
            <w:r>
              <w:rPr>
                <w:rFonts w:ascii="Times New Roman" w:hAnsi="Times New Roman"/>
                <w:kern w:val="0"/>
                <w:sz w:val="20"/>
                <w:szCs w:val="21"/>
              </w:rPr>
              <w:t>T</w:t>
            </w:r>
          </w:p>
        </w:tc>
        <w:tc>
          <w:tcPr>
            <w:tcW w:w="379" w:type="dxa"/>
            <w:vAlign w:val="center"/>
          </w:tcPr>
          <w:p>
            <w:pPr>
              <w:spacing w:line="300" w:lineRule="auto"/>
              <w:jc w:val="center"/>
              <w:rPr>
                <w:rFonts w:ascii="Times New Roman" w:hAnsi="Times New Roman"/>
                <w:kern w:val="0"/>
                <w:sz w:val="20"/>
                <w:szCs w:val="21"/>
              </w:rPr>
            </w:pPr>
            <w:r>
              <w:rPr>
                <w:rFonts w:ascii="Times New Roman" w:hAnsi="Times New Roman"/>
                <w:kern w:val="0"/>
                <w:sz w:val="2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0" w:hRule="atLeast"/>
        </w:trPr>
        <w:tc>
          <w:tcPr>
            <w:tcW w:w="692" w:type="dxa"/>
            <w:gridSpan w:val="2"/>
            <w:vAlign w:val="center"/>
          </w:tcPr>
          <w:p>
            <w:pPr>
              <w:spacing w:line="300" w:lineRule="auto"/>
              <w:jc w:val="center"/>
              <w:rPr>
                <w:rFonts w:ascii="宋体" w:hAnsi="宋体"/>
                <w:kern w:val="0"/>
                <w:sz w:val="20"/>
                <w:szCs w:val="21"/>
              </w:rPr>
            </w:pPr>
            <w:r>
              <w:rPr>
                <w:rFonts w:hint="eastAsia" w:ascii="宋体" w:hAnsi="宋体"/>
                <w:kern w:val="0"/>
                <w:sz w:val="20"/>
                <w:szCs w:val="21"/>
              </w:rPr>
              <w:t>说明</w:t>
            </w:r>
          </w:p>
        </w:tc>
        <w:tc>
          <w:tcPr>
            <w:tcW w:w="7620" w:type="dxa"/>
            <w:gridSpan w:val="20"/>
            <w:vAlign w:val="center"/>
          </w:tcPr>
          <w:p>
            <w:pPr>
              <w:widowControl/>
              <w:jc w:val="left"/>
              <w:rPr>
                <w:rFonts w:ascii="宋体" w:hAnsi="宋体"/>
                <w:kern w:val="0"/>
                <w:sz w:val="20"/>
                <w:szCs w:val="21"/>
              </w:rPr>
            </w:pPr>
            <w:r>
              <w:rPr>
                <w:rFonts w:hint="eastAsia" w:ascii="宋体" w:hAnsi="宋体"/>
                <w:kern w:val="0"/>
                <w:sz w:val="20"/>
                <w:szCs w:val="21"/>
              </w:rPr>
              <w:t>→课程教学，：考试，△实训(含大作业)，×入学毕业教育，★军训，▲</w:t>
            </w:r>
            <w:r>
              <w:rPr>
                <w:rFonts w:ascii="Times New Roman" w:hAnsi="Times New Roman"/>
                <w:kern w:val="0"/>
                <w:sz w:val="20"/>
                <w:szCs w:val="20"/>
              </w:rPr>
              <w:t>毕业综合实训和生产(顶岗)实习</w:t>
            </w:r>
            <w:r>
              <w:rPr>
                <w:rFonts w:ascii="Times New Roman" w:hAnsi="Times New Roman"/>
                <w:kern w:val="0"/>
                <w:sz w:val="20"/>
              </w:rPr>
              <w:t>，</w:t>
            </w:r>
            <w:r>
              <w:rPr>
                <w:rFonts w:ascii="宋体" w:hAnsi="宋体"/>
                <w:kern w:val="0"/>
                <w:sz w:val="20"/>
              </w:rPr>
              <w:t>○</w:t>
            </w:r>
            <w:r>
              <w:rPr>
                <w:rFonts w:ascii="Times New Roman" w:hAnsi="Times New Roman"/>
                <w:kern w:val="0"/>
                <w:sz w:val="20"/>
              </w:rPr>
              <w:t>岗位训练，T机动。</w:t>
            </w:r>
          </w:p>
        </w:tc>
      </w:tr>
    </w:tbl>
    <w:p>
      <w:pPr>
        <w:rPr>
          <w:rFonts w:ascii="Times New Roman" w:hAnsi="Times New Roman"/>
          <w:sz w:val="18"/>
          <w:szCs w:val="18"/>
        </w:rPr>
      </w:pPr>
    </w:p>
    <w:p>
      <w:pPr>
        <w:rPr>
          <w:rFonts w:asciiTheme="majorEastAsia" w:hAnsiTheme="majorEastAsia" w:eastAsiaTheme="majorEastAsia"/>
        </w:rPr>
      </w:pPr>
    </w:p>
    <w:p>
      <w:pPr>
        <w:pStyle w:val="2"/>
      </w:pPr>
      <w:bookmarkStart w:id="29" w:name="_Toc7340073"/>
      <w:r>
        <w:rPr>
          <w:rFonts w:hint="eastAsia"/>
        </w:rPr>
        <w:t>七、实施保障</w:t>
      </w:r>
      <w:bookmarkEnd w:id="29"/>
    </w:p>
    <w:p>
      <w:pPr>
        <w:spacing w:line="400" w:lineRule="exact"/>
        <w:ind w:firstLine="420" w:firstLineChars="200"/>
        <w:rPr>
          <w:rFonts w:asciiTheme="majorEastAsia" w:hAnsiTheme="majorEastAsia" w:eastAsiaTheme="majorEastAsia"/>
        </w:rPr>
      </w:pPr>
      <w:r>
        <w:rPr>
          <w:rFonts w:hint="eastAsia" w:asciiTheme="majorEastAsia" w:hAnsiTheme="majorEastAsia" w:eastAsiaTheme="majorEastAsia"/>
        </w:rPr>
        <w:t>包括师资队伍、教学设施、教学资源、教学方法、教学评价、质量管理等方面，满足培养目标、人才规格的要求，满足教学安排的需要，满足学生的多样学习需求，积极吸收行业企业参与。</w:t>
      </w:r>
    </w:p>
    <w:p>
      <w:pPr>
        <w:pStyle w:val="3"/>
        <w:rPr>
          <w:sz w:val="24"/>
          <w:szCs w:val="24"/>
        </w:rPr>
      </w:pPr>
      <w:bookmarkStart w:id="30" w:name="_Toc7340074"/>
      <w:r>
        <w:rPr>
          <w:rFonts w:hint="eastAsia"/>
          <w:sz w:val="24"/>
          <w:szCs w:val="24"/>
        </w:rPr>
        <w:t>1.【师资队伍】</w:t>
      </w:r>
      <w:bookmarkEnd w:id="30"/>
    </w:p>
    <w:p>
      <w:pPr>
        <w:spacing w:line="480" w:lineRule="exact"/>
        <w:ind w:firstLine="420"/>
        <w:rPr>
          <w:rFonts w:ascii="宋体" w:hAnsi="宋体"/>
          <w:szCs w:val="21"/>
        </w:rPr>
      </w:pPr>
      <w:bookmarkStart w:id="31" w:name="_Toc7340075"/>
      <w:r>
        <w:rPr>
          <w:rFonts w:hint="eastAsia" w:ascii="宋体" w:hAnsi="宋体"/>
          <w:szCs w:val="21"/>
        </w:rPr>
        <w:t>1.1专任教师要求</w:t>
      </w:r>
    </w:p>
    <w:p>
      <w:pPr>
        <w:spacing w:line="480" w:lineRule="exact"/>
        <w:ind w:firstLine="420" w:firstLineChars="200"/>
        <w:rPr>
          <w:rFonts w:ascii="宋体" w:hAnsi="宋体"/>
          <w:szCs w:val="21"/>
        </w:rPr>
      </w:pPr>
      <w:r>
        <w:rPr>
          <w:rFonts w:hint="eastAsia" w:ascii="宋体" w:hAnsi="宋体"/>
          <w:szCs w:val="21"/>
        </w:rPr>
        <w:t>工程测量技术</w:t>
      </w:r>
      <w:r>
        <w:rPr>
          <w:rFonts w:ascii="宋体" w:hAnsi="宋体"/>
          <w:szCs w:val="21"/>
        </w:rPr>
        <w:t>专业拥有专任教师22人，兼职教师44人。</w:t>
      </w:r>
    </w:p>
    <w:p>
      <w:pPr>
        <w:spacing w:line="480" w:lineRule="exact"/>
        <w:ind w:firstLine="420" w:firstLineChars="200"/>
        <w:rPr>
          <w:rFonts w:ascii="宋体" w:hAnsi="宋体"/>
          <w:szCs w:val="21"/>
        </w:rPr>
      </w:pPr>
      <w:r>
        <w:rPr>
          <w:rFonts w:hint="eastAsia" w:ascii="宋体" w:hAnsi="宋体"/>
          <w:szCs w:val="21"/>
        </w:rPr>
        <w:t>在</w:t>
      </w:r>
      <w:r>
        <w:rPr>
          <w:rFonts w:ascii="宋体" w:hAnsi="宋体"/>
          <w:szCs w:val="21"/>
        </w:rPr>
        <w:t>专任教师中，副高以上职称7人占32%，博士</w:t>
      </w:r>
      <w:r>
        <w:rPr>
          <w:rFonts w:hint="eastAsia" w:ascii="宋体" w:hAnsi="宋体"/>
          <w:szCs w:val="21"/>
        </w:rPr>
        <w:t>8</w:t>
      </w:r>
      <w:r>
        <w:rPr>
          <w:rFonts w:ascii="宋体" w:hAnsi="宋体"/>
          <w:szCs w:val="21"/>
        </w:rPr>
        <w:t>人(2人为博士后)占</w:t>
      </w:r>
      <w:r>
        <w:rPr>
          <w:rFonts w:hint="eastAsia" w:ascii="宋体" w:hAnsi="宋体"/>
          <w:szCs w:val="21"/>
        </w:rPr>
        <w:t>36</w:t>
      </w:r>
      <w:r>
        <w:rPr>
          <w:rFonts w:ascii="宋体" w:hAnsi="宋体"/>
          <w:szCs w:val="21"/>
        </w:rPr>
        <w:t>%，硕士</w:t>
      </w:r>
      <w:r>
        <w:rPr>
          <w:rFonts w:hint="eastAsia" w:ascii="宋体" w:hAnsi="宋体"/>
          <w:szCs w:val="21"/>
        </w:rPr>
        <w:t>9</w:t>
      </w:r>
      <w:r>
        <w:rPr>
          <w:rFonts w:ascii="宋体" w:hAnsi="宋体"/>
          <w:szCs w:val="21"/>
        </w:rPr>
        <w:t>人占</w:t>
      </w:r>
      <w:r>
        <w:rPr>
          <w:rFonts w:hint="eastAsia" w:ascii="宋体" w:hAnsi="宋体"/>
          <w:szCs w:val="21"/>
        </w:rPr>
        <w:t>41</w:t>
      </w:r>
      <w:r>
        <w:rPr>
          <w:rFonts w:ascii="宋体" w:hAnsi="宋体"/>
          <w:szCs w:val="21"/>
        </w:rPr>
        <w:t>%，双师素质教师22人占100%。</w:t>
      </w:r>
    </w:p>
    <w:p>
      <w:pPr>
        <w:spacing w:line="480" w:lineRule="exact"/>
        <w:ind w:firstLine="420"/>
        <w:rPr>
          <w:rFonts w:ascii="宋体" w:hAnsi="宋体"/>
          <w:szCs w:val="21"/>
        </w:rPr>
      </w:pPr>
      <w:r>
        <w:rPr>
          <w:rFonts w:hint="eastAsia" w:ascii="宋体" w:hAnsi="宋体"/>
          <w:szCs w:val="21"/>
        </w:rPr>
        <w:t>1.2兼职教师要求</w:t>
      </w:r>
    </w:p>
    <w:p>
      <w:pPr>
        <w:spacing w:line="480" w:lineRule="exact"/>
        <w:ind w:firstLine="420"/>
        <w:rPr>
          <w:rFonts w:ascii="宋体" w:hAnsi="宋体"/>
          <w:szCs w:val="21"/>
        </w:rPr>
      </w:pPr>
      <w:r>
        <w:rPr>
          <w:rFonts w:hint="eastAsia" w:ascii="宋体" w:hAnsi="宋体"/>
          <w:szCs w:val="21"/>
        </w:rPr>
        <w:t>从相关企业聘任，具备良好的思想政治素质、职业道德和工匠精神，具有扎实的专业知识和丰富的实际工作经验的</w:t>
      </w:r>
      <w:r>
        <w:rPr>
          <w:rFonts w:ascii="宋体" w:hAnsi="宋体"/>
          <w:szCs w:val="21"/>
        </w:rPr>
        <w:t>兼职教师44</w:t>
      </w:r>
      <w:r>
        <w:rPr>
          <w:rFonts w:hint="eastAsia" w:ascii="宋体" w:hAnsi="宋体"/>
          <w:szCs w:val="21"/>
        </w:rPr>
        <w:t>人，全部为</w:t>
      </w:r>
      <w:r>
        <w:rPr>
          <w:rFonts w:ascii="宋体" w:hAnsi="宋体"/>
          <w:szCs w:val="21"/>
        </w:rPr>
        <w:t>行业企业生产一线实践经验丰富的技术专家和能工巧匠担任，80%具有中高级职称。专业建成了一支结构合理、数量适当、素质优良、富于创新的高水平专兼结合专业教学团队。</w:t>
      </w:r>
    </w:p>
    <w:p>
      <w:pPr>
        <w:spacing w:line="480" w:lineRule="exact"/>
        <w:ind w:firstLine="420"/>
        <w:rPr>
          <w:rFonts w:ascii="宋体" w:hAnsi="宋体"/>
          <w:szCs w:val="21"/>
        </w:rPr>
      </w:pPr>
      <w:r>
        <w:rPr>
          <w:rFonts w:hint="eastAsia" w:ascii="宋体" w:hAnsi="宋体"/>
          <w:szCs w:val="21"/>
        </w:rPr>
        <w:t>1.3专业带头人</w:t>
      </w:r>
    </w:p>
    <w:p>
      <w:pPr>
        <w:spacing w:line="480" w:lineRule="exact"/>
        <w:ind w:firstLine="420"/>
        <w:rPr>
          <w:rFonts w:ascii="宋体" w:hAnsi="宋体"/>
          <w:szCs w:val="21"/>
        </w:rPr>
      </w:pPr>
      <w:r>
        <w:rPr>
          <w:rFonts w:hint="eastAsia" w:ascii="宋体" w:hAnsi="宋体"/>
          <w:szCs w:val="21"/>
        </w:rPr>
        <w:t>校内专业带头人速云中，副教授，南粤优秀教师，全国测绘地理信息教学指导委员会主任委员。能够较好把握国内外行业、专业发展，能广泛联系行业企业，了解行业企业对本专业人才的实际需求，教学设计、专业研究能力强，组织开展教科研工作能力强，在本区域或本专业领域有一定的影响力。</w:t>
      </w:r>
    </w:p>
    <w:p>
      <w:pPr>
        <w:pStyle w:val="3"/>
        <w:rPr>
          <w:sz w:val="24"/>
          <w:szCs w:val="24"/>
        </w:rPr>
      </w:pPr>
      <w:r>
        <w:rPr>
          <w:rFonts w:hint="eastAsia"/>
          <w:sz w:val="24"/>
          <w:szCs w:val="24"/>
        </w:rPr>
        <w:t>2.【教学设施】</w:t>
      </w:r>
      <w:bookmarkEnd w:id="31"/>
    </w:p>
    <w:p>
      <w:pPr>
        <w:spacing w:line="480" w:lineRule="exact"/>
        <w:ind w:firstLine="420" w:firstLineChars="200"/>
        <w:rPr>
          <w:rFonts w:ascii="宋体" w:hAnsi="宋体"/>
        </w:rPr>
      </w:pPr>
      <w:r>
        <w:rPr>
          <w:rFonts w:hint="eastAsia" w:ascii="宋体" w:hAnsi="宋体"/>
        </w:rPr>
        <w:t>2.1校内实训基地</w:t>
      </w:r>
    </w:p>
    <w:p>
      <w:pPr>
        <w:spacing w:line="480" w:lineRule="exact"/>
        <w:ind w:firstLine="420"/>
        <w:rPr>
          <w:sz w:val="24"/>
          <w:szCs w:val="24"/>
        </w:rPr>
      </w:pPr>
      <w:r>
        <w:rPr>
          <w:rFonts w:hint="eastAsia"/>
          <w:sz w:val="24"/>
          <w:szCs w:val="24"/>
        </w:rPr>
        <w:t>实训基地设备总值2072.27万元，拥有21个校内实训室、12个校内训练场、6个“企业工作室”、4个“工程中心”、5个“教师工作站”和45个校外实习基地。基地满足专业教学需求，实训、实习开出率100%，具备每年与企业合作开展科研、生产、培训与鉴定、技术服务及承担省级技能竞赛能力。基地在实训室规模、设备配置合理性、设备先进性、设备数量、利用率及管理状况等方面均居于同行业领先。其中，“单点CORS”、GPS监测平台、无人机及高分影像处理软件、0.5秒测量机器人、虚拟现实呈现平台等，均属省内领先，同行业第一。</w:t>
      </w:r>
    </w:p>
    <w:p>
      <w:pPr>
        <w:spacing w:line="480" w:lineRule="exact"/>
        <w:ind w:firstLine="420"/>
      </w:pPr>
      <w:r>
        <w:rPr>
          <w:rFonts w:hint="eastAsia"/>
        </w:rPr>
        <w:t>2.2校外实训基地</w:t>
      </w:r>
    </w:p>
    <w:p>
      <w:pPr>
        <w:spacing w:line="480" w:lineRule="exact"/>
        <w:ind w:firstLine="420"/>
        <w:rPr>
          <w:rFonts w:ascii="宋体" w:hAnsi="宋体" w:cs="仿宋"/>
          <w:szCs w:val="21"/>
        </w:rPr>
      </w:pPr>
      <w:r>
        <w:rPr>
          <w:rFonts w:ascii="宋体" w:hAnsi="宋体" w:cs="仿宋"/>
          <w:szCs w:val="21"/>
        </w:rPr>
        <w:t>具有稳定的</w:t>
      </w:r>
      <w:r>
        <w:rPr>
          <w:rFonts w:hint="eastAsia" w:ascii="宋体" w:hAnsi="宋体" w:cs="仿宋"/>
          <w:szCs w:val="21"/>
        </w:rPr>
        <w:t>75家</w:t>
      </w:r>
      <w:r>
        <w:rPr>
          <w:rFonts w:ascii="宋体" w:hAnsi="宋体" w:cs="仿宋"/>
          <w:szCs w:val="21"/>
        </w:rPr>
        <w:t>校外实训基地。实训基地实训设施齐备，实训岗位、实训指导教师确定，实训管理及实施规章制度齐全；能够接纳一定规模的学生进行</w:t>
      </w:r>
      <w:r>
        <w:rPr>
          <w:rFonts w:hint="eastAsia" w:ascii="宋体" w:hAnsi="宋体" w:cs="仿宋"/>
          <w:szCs w:val="21"/>
        </w:rPr>
        <w:t>数字化测图</w:t>
      </w:r>
      <w:r>
        <w:rPr>
          <w:rFonts w:ascii="宋体" w:hAnsi="宋体" w:cs="仿宋"/>
          <w:szCs w:val="21"/>
        </w:rPr>
        <w:t>、</w:t>
      </w:r>
      <w:r>
        <w:rPr>
          <w:rFonts w:hint="eastAsia" w:ascii="宋体" w:hAnsi="宋体" w:cs="仿宋"/>
          <w:szCs w:val="21"/>
        </w:rPr>
        <w:t>工程测量</w:t>
      </w:r>
      <w:r>
        <w:rPr>
          <w:rFonts w:ascii="宋体" w:hAnsi="宋体" w:cs="仿宋"/>
          <w:szCs w:val="21"/>
        </w:rPr>
        <w:t>、</w:t>
      </w:r>
      <w:r>
        <w:rPr>
          <w:rFonts w:hint="eastAsia" w:ascii="宋体" w:hAnsi="宋体" w:cs="仿宋"/>
          <w:szCs w:val="21"/>
        </w:rPr>
        <w:t>变形监测、GIS数据处理、无人机数据处理</w:t>
      </w:r>
      <w:r>
        <w:rPr>
          <w:rFonts w:ascii="宋体" w:hAnsi="宋体" w:cs="仿宋"/>
          <w:szCs w:val="21"/>
        </w:rPr>
        <w:t>等有关实训。</w:t>
      </w:r>
      <w:r>
        <w:rPr>
          <w:rFonts w:hint="eastAsia" w:ascii="宋体" w:hAnsi="宋体" w:cs="仿宋"/>
          <w:szCs w:val="21"/>
        </w:rPr>
        <w:t>广州建通测绘技术股份有限公司校外实训基地是省级校外大学生实践教学基地。</w:t>
      </w:r>
    </w:p>
    <w:p>
      <w:pPr>
        <w:pStyle w:val="3"/>
        <w:rPr>
          <w:sz w:val="24"/>
          <w:szCs w:val="24"/>
        </w:rPr>
      </w:pPr>
      <w:bookmarkStart w:id="32" w:name="_Toc7340076"/>
      <w:r>
        <w:rPr>
          <w:rFonts w:hint="eastAsia"/>
          <w:sz w:val="24"/>
          <w:szCs w:val="24"/>
        </w:rPr>
        <w:t>3.【教学资源】</w:t>
      </w:r>
      <w:bookmarkEnd w:id="32"/>
    </w:p>
    <w:p>
      <w:pPr>
        <w:spacing w:line="480" w:lineRule="exact"/>
        <w:ind w:left="569" w:hanging="10"/>
        <w:rPr>
          <w:rFonts w:ascii="宋体" w:hAnsi="宋体"/>
          <w:szCs w:val="21"/>
        </w:rPr>
      </w:pPr>
      <w:bookmarkStart w:id="33" w:name="_Toc7340077"/>
      <w:r>
        <w:rPr>
          <w:rFonts w:ascii="宋体" w:hAnsi="宋体" w:cs="仿宋"/>
          <w:szCs w:val="21"/>
        </w:rPr>
        <w:t>3.1 教材选用基本要求</w:t>
      </w:r>
    </w:p>
    <w:p>
      <w:pPr>
        <w:spacing w:line="480" w:lineRule="exact"/>
        <w:ind w:left="-15" w:firstLine="559"/>
        <w:rPr>
          <w:rFonts w:ascii="宋体" w:hAnsi="宋体"/>
          <w:szCs w:val="21"/>
        </w:rPr>
      </w:pPr>
      <w:r>
        <w:rPr>
          <w:rFonts w:ascii="宋体" w:hAnsi="宋体" w:cs="宋体"/>
          <w:szCs w:val="21"/>
        </w:rPr>
        <w:t>按</w:t>
      </w:r>
      <w:r>
        <w:rPr>
          <w:rFonts w:ascii="宋体" w:hAnsi="宋体" w:cs="仿宋"/>
          <w:szCs w:val="21"/>
        </w:rPr>
        <w:t>照国家规定选用优质教材，禁止不合格的教材进入课堂。学校应建立由专业教师、行业专家和教研人员等参与的教材选用机构，完善教材选用制度，经过规范程序择优选用教材。</w:t>
      </w:r>
    </w:p>
    <w:p>
      <w:pPr>
        <w:spacing w:line="480" w:lineRule="exact"/>
        <w:ind w:left="569" w:hanging="10"/>
        <w:rPr>
          <w:rFonts w:ascii="宋体" w:hAnsi="宋体"/>
          <w:szCs w:val="21"/>
        </w:rPr>
      </w:pPr>
      <w:r>
        <w:rPr>
          <w:rFonts w:ascii="宋体" w:hAnsi="宋体" w:cs="仿宋"/>
          <w:szCs w:val="21"/>
        </w:rPr>
        <w:t>3.</w:t>
      </w:r>
      <w:r>
        <w:rPr>
          <w:rFonts w:hint="eastAsia" w:ascii="宋体" w:hAnsi="宋体" w:cs="仿宋"/>
          <w:szCs w:val="21"/>
        </w:rPr>
        <w:t>2</w:t>
      </w:r>
      <w:r>
        <w:rPr>
          <w:rFonts w:ascii="宋体" w:hAnsi="宋体" w:cs="仿宋"/>
          <w:szCs w:val="21"/>
        </w:rPr>
        <w:t xml:space="preserve"> 图书文献配备基本要求</w:t>
      </w:r>
    </w:p>
    <w:p>
      <w:pPr>
        <w:spacing w:line="480" w:lineRule="exact"/>
        <w:ind w:left="-15" w:firstLine="528"/>
        <w:rPr>
          <w:rFonts w:ascii="宋体" w:hAnsi="宋体"/>
          <w:szCs w:val="21"/>
        </w:rPr>
      </w:pPr>
      <w:r>
        <w:rPr>
          <w:rFonts w:ascii="宋体" w:hAnsi="宋体" w:cs="仿宋"/>
          <w:szCs w:val="21"/>
        </w:rPr>
        <w:t>图书文献配备能够满足人才培养、专业建设、教科研等工作的需要，方便师生查询、借阅。专业类图书文献主要包括：</w:t>
      </w:r>
      <w:r>
        <w:rPr>
          <w:rFonts w:hint="eastAsia" w:ascii="宋体" w:hAnsi="宋体" w:cs="仿宋"/>
          <w:szCs w:val="21"/>
        </w:rPr>
        <w:t>工程测量</w:t>
      </w:r>
      <w:r>
        <w:rPr>
          <w:rFonts w:ascii="宋体" w:hAnsi="宋体" w:cs="仿宋"/>
          <w:szCs w:val="21"/>
        </w:rPr>
        <w:t>行业政策法规、行业标准、技术规范以及相关</w:t>
      </w:r>
      <w:r>
        <w:rPr>
          <w:rFonts w:hint="eastAsia" w:ascii="宋体" w:hAnsi="宋体" w:cs="仿宋"/>
          <w:szCs w:val="21"/>
        </w:rPr>
        <w:t>工程测量类教材</w:t>
      </w:r>
      <w:r>
        <w:rPr>
          <w:rFonts w:ascii="宋体" w:hAnsi="宋体" w:cs="仿宋"/>
          <w:szCs w:val="21"/>
        </w:rPr>
        <w:t>、</w:t>
      </w:r>
      <w:r>
        <w:rPr>
          <w:rFonts w:hint="eastAsia" w:ascii="宋体" w:hAnsi="宋体" w:cs="仿宋"/>
          <w:szCs w:val="21"/>
        </w:rPr>
        <w:t>摄影测量类教材</w:t>
      </w:r>
      <w:r>
        <w:rPr>
          <w:rFonts w:ascii="宋体" w:hAnsi="宋体" w:cs="仿宋"/>
          <w:szCs w:val="21"/>
        </w:rPr>
        <w:t>、</w:t>
      </w:r>
      <w:r>
        <w:rPr>
          <w:rFonts w:hint="eastAsia" w:ascii="宋体" w:hAnsi="宋体" w:cs="仿宋"/>
          <w:szCs w:val="21"/>
        </w:rPr>
        <w:t>地理信息系统教材</w:t>
      </w:r>
      <w:r>
        <w:rPr>
          <w:rFonts w:ascii="宋体" w:hAnsi="宋体" w:cs="仿宋"/>
          <w:szCs w:val="21"/>
        </w:rPr>
        <w:t>等；</w:t>
      </w:r>
      <w:r>
        <w:rPr>
          <w:rFonts w:hint="eastAsia" w:ascii="宋体" w:hAnsi="宋体" w:cs="仿宋"/>
          <w:szCs w:val="21"/>
        </w:rPr>
        <w:t>工程测量</w:t>
      </w:r>
      <w:r>
        <w:rPr>
          <w:rFonts w:ascii="宋体" w:hAnsi="宋体" w:cs="仿宋"/>
          <w:szCs w:val="21"/>
        </w:rPr>
        <w:t>专业技术类图书和</w:t>
      </w:r>
      <w:r>
        <w:rPr>
          <w:rFonts w:hint="eastAsia" w:ascii="宋体" w:hAnsi="宋体" w:cs="仿宋"/>
          <w:szCs w:val="21"/>
        </w:rPr>
        <w:t>工程</w:t>
      </w:r>
      <w:r>
        <w:rPr>
          <w:rFonts w:ascii="宋体" w:hAnsi="宋体" w:cs="仿宋"/>
          <w:szCs w:val="21"/>
        </w:rPr>
        <w:t>案例类图书；5种以上</w:t>
      </w:r>
      <w:r>
        <w:rPr>
          <w:rFonts w:hint="eastAsia" w:ascii="宋体" w:hAnsi="宋体" w:cs="仿宋"/>
          <w:szCs w:val="21"/>
        </w:rPr>
        <w:t>工程测量</w:t>
      </w:r>
      <w:r>
        <w:rPr>
          <w:rFonts w:ascii="宋体" w:hAnsi="宋体" w:cs="仿宋"/>
          <w:szCs w:val="21"/>
        </w:rPr>
        <w:t>类专业学术期刊。</w:t>
      </w:r>
    </w:p>
    <w:p>
      <w:pPr>
        <w:spacing w:line="480" w:lineRule="exact"/>
        <w:ind w:left="569" w:hanging="10"/>
        <w:rPr>
          <w:rFonts w:ascii="宋体" w:hAnsi="宋体"/>
          <w:szCs w:val="21"/>
        </w:rPr>
      </w:pPr>
      <w:r>
        <w:rPr>
          <w:rFonts w:ascii="宋体" w:hAnsi="宋体" w:cs="仿宋"/>
          <w:szCs w:val="21"/>
        </w:rPr>
        <w:t>3.3 数字教学资源配置基本要求</w:t>
      </w:r>
    </w:p>
    <w:p>
      <w:pPr>
        <w:spacing w:line="480" w:lineRule="exact"/>
        <w:ind w:firstLine="420" w:firstLineChars="200"/>
        <w:rPr>
          <w:rFonts w:ascii="宋体" w:hAnsi="宋体"/>
          <w:szCs w:val="21"/>
        </w:rPr>
      </w:pPr>
      <w:r>
        <w:rPr>
          <w:rFonts w:ascii="宋体" w:hAnsi="宋体" w:cs="仿宋"/>
          <w:szCs w:val="21"/>
        </w:rPr>
        <w:t>建设、配备与本专业有关的音视频素材、教学课件、数字化教学案例库、虚拟仿真软件、数字教材等专业教学资源库，种类丰富、形式多样、使用便捷、动态更新、满足教学。</w:t>
      </w:r>
    </w:p>
    <w:p>
      <w:pPr>
        <w:pStyle w:val="3"/>
        <w:rPr>
          <w:sz w:val="24"/>
          <w:szCs w:val="24"/>
        </w:rPr>
      </w:pPr>
      <w:r>
        <w:rPr>
          <w:rFonts w:hint="eastAsia"/>
          <w:sz w:val="24"/>
          <w:szCs w:val="24"/>
        </w:rPr>
        <w:t>4.【教学方法】</w:t>
      </w:r>
      <w:bookmarkEnd w:id="33"/>
    </w:p>
    <w:p>
      <w:pPr>
        <w:adjustRightInd w:val="0"/>
        <w:snapToGrid w:val="0"/>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针对高职学生认知特点和信息化技术发展，改进教学方法。混合式学习和翻转课堂是在线教育的未来趋势要实现翻转课堂教学，因此，要把传统学习方式的优势和网络化学习的优势结合起来，在部分课程建立混合式学习模式。为更好培养学生仪器操作与使用、软件操作与数据处理的能力，部分专业核心课程采用了项目教学，指导教师依据专业培养目标、课程教学要求、学生能力与教学资源，采用适当的教学方法，以达成预期教学目标。倡导因材施教、因需施教，鼓励创新教学方法和策略，采用理实一体化教学、案例教学、项目教学等方法，坚持学中做、做中学。</w:t>
      </w:r>
    </w:p>
    <w:p>
      <w:pPr>
        <w:spacing w:line="400" w:lineRule="exact"/>
        <w:ind w:firstLine="420" w:firstLineChars="200"/>
        <w:rPr>
          <w:rFonts w:asciiTheme="majorEastAsia" w:hAnsiTheme="majorEastAsia" w:eastAsiaTheme="majorEastAsia"/>
        </w:rPr>
      </w:pPr>
    </w:p>
    <w:p>
      <w:pPr>
        <w:pStyle w:val="3"/>
        <w:rPr>
          <w:sz w:val="24"/>
          <w:szCs w:val="24"/>
        </w:rPr>
      </w:pPr>
      <w:bookmarkStart w:id="34" w:name="_Toc7340078"/>
      <w:r>
        <w:rPr>
          <w:rFonts w:hint="eastAsia"/>
          <w:sz w:val="24"/>
          <w:szCs w:val="24"/>
        </w:rPr>
        <w:t>5.【教学评价】</w:t>
      </w:r>
      <w:bookmarkEnd w:id="34"/>
    </w:p>
    <w:p>
      <w:pPr>
        <w:adjustRightInd w:val="0"/>
        <w:snapToGrid w:val="0"/>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建立了健全的教学常规管理制度，分别在开学初对教学准备工作、教学设备到位情况和教师备课情况进行检查；在期中对课堂教学、教学进度、教案、辅导、实训、作业等教学环节进行普查和抽查；期末对考试环节重点检查，对全体教师进行教学评价等。</w:t>
      </w:r>
    </w:p>
    <w:p>
      <w:pPr>
        <w:adjustRightInd w:val="0"/>
        <w:snapToGrid w:val="0"/>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对学生的学业考核评价内容应兼顾认知、技能、情感等方面，评价应体现评价标准、评价主体、评价方式、评价过程的多元化，如观察、口试、笔试、顶岗操作、职业技能大赛、职业资格鉴定等评价、评定方式。要加强对教学过程的质量监控，改革教学评价的标准和方法。</w:t>
      </w:r>
    </w:p>
    <w:p>
      <w:pPr>
        <w:spacing w:line="400" w:lineRule="exact"/>
        <w:ind w:firstLine="420" w:firstLineChars="200"/>
        <w:rPr>
          <w:rFonts w:asciiTheme="majorEastAsia" w:hAnsiTheme="majorEastAsia" w:eastAsiaTheme="majorEastAsia"/>
        </w:rPr>
      </w:pPr>
      <w:r>
        <w:rPr>
          <w:rFonts w:hint="eastAsia" w:asciiTheme="minorEastAsia" w:hAnsiTheme="minorEastAsia"/>
          <w:color w:val="000000"/>
          <w:szCs w:val="21"/>
        </w:rPr>
        <w:t>学生评教工作主要通过三种渠道开展：一是每位任课教师负责填写本课程的教学日志，系部和教务处反馈意见，保障教学正常运行；二是各教学单位每学期在期中或期末教学检查过程中，召开由各专业学生代表参加的座谈会，对本班本学期所学的每一门课程进行评价，并对教学计划中的课程设置、实践教学、教学管理等提出意见和建议；三是所有学生通过教学质量评价系统对自己本学期所学课程进行评价打分；据统计，我系学生对教师满意度评价达到良好以上超过95%</w:t>
      </w:r>
    </w:p>
    <w:p>
      <w:pPr>
        <w:pStyle w:val="3"/>
        <w:rPr>
          <w:sz w:val="24"/>
          <w:szCs w:val="24"/>
        </w:rPr>
      </w:pPr>
      <w:bookmarkStart w:id="35" w:name="_Toc7340079"/>
      <w:r>
        <w:rPr>
          <w:rFonts w:hint="eastAsia"/>
          <w:sz w:val="24"/>
          <w:szCs w:val="24"/>
        </w:rPr>
        <w:t>6.【质量管理】</w:t>
      </w:r>
      <w:bookmarkEnd w:id="35"/>
    </w:p>
    <w:p>
      <w:pPr>
        <w:spacing w:line="400" w:lineRule="exact"/>
        <w:ind w:firstLine="420" w:firstLineChars="200"/>
        <w:rPr>
          <w:rFonts w:ascii="Arial" w:hAnsi="Arial" w:cs="Arial"/>
          <w:color w:val="333333"/>
          <w:sz w:val="20"/>
          <w:szCs w:val="20"/>
        </w:rPr>
      </w:pPr>
      <w:r>
        <w:rPr>
          <w:rFonts w:hint="eastAsia" w:asciiTheme="majorEastAsia" w:hAnsiTheme="majorEastAsia" w:eastAsiaTheme="majorEastAsia"/>
        </w:rPr>
        <w:t>建立健全校院两级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numPr>
          <w:ilvl w:val="1"/>
          <w:numId w:val="3"/>
        </w:numPr>
        <w:spacing w:line="400" w:lineRule="exact"/>
        <w:rPr>
          <w:rFonts w:asciiTheme="minorEastAsia" w:hAnsiTheme="minorEastAsia"/>
          <w:b/>
          <w:bCs/>
          <w:color w:val="000000"/>
          <w:szCs w:val="21"/>
        </w:rPr>
      </w:pPr>
      <w:r>
        <w:rPr>
          <w:rFonts w:hint="eastAsia" w:asciiTheme="minorEastAsia" w:hAnsiTheme="minorEastAsia"/>
          <w:b/>
          <w:bCs/>
          <w:color w:val="000000"/>
          <w:szCs w:val="21"/>
        </w:rPr>
        <w:t>健全基于ISO9001的教学质量监控、评价运行机制</w:t>
      </w:r>
    </w:p>
    <w:p>
      <w:pPr>
        <w:snapToGrid w:val="0"/>
        <w:spacing w:line="400" w:lineRule="exact"/>
        <w:ind w:firstLine="415" w:firstLineChars="198"/>
        <w:rPr>
          <w:rFonts w:asciiTheme="minorEastAsia" w:hAnsiTheme="minorEastAsia"/>
          <w:color w:val="000000"/>
          <w:szCs w:val="21"/>
        </w:rPr>
      </w:pPr>
      <w:r>
        <w:rPr>
          <w:rFonts w:hint="eastAsia" w:asciiTheme="minorEastAsia" w:hAnsiTheme="minorEastAsia"/>
          <w:color w:val="000000"/>
          <w:szCs w:val="21"/>
        </w:rPr>
        <w:t>构建由学生、教师、专业、行业、企业等组成的教学信息反馈体系，及时反馈和处理教学过程中发现的相关问题，形成闭环信息反馈系统。建立企业参与全过程的教学质量监控、评价工作运行机制。采用以学生为主体的课程学习模式，按照ISO9001质量管理体系的标准，创新“过程与结果相结合”的考核评价模式，通过控制学习过程的质量来保证学习结果。根据课程特点，实施“赛课结合”、“课证结合”等多类型、多层次考核评价方法对学习成果进行考核，促进在校生学习主动性的提高。课程评价主体多元化，在关注学生评价、教师评价等内部评价的同时，加强校外实践企业及其它社会评价，使质量意识渗透到人才培养的全过程，且动态作用于人才培养的每一个环节。建设期内，完成专业学生学业多元化评价方案的制定，使教学质量得到显著提升。</w:t>
      </w:r>
    </w:p>
    <w:p>
      <w:pPr>
        <w:numPr>
          <w:ilvl w:val="1"/>
          <w:numId w:val="3"/>
        </w:numPr>
        <w:spacing w:line="400" w:lineRule="exact"/>
        <w:rPr>
          <w:rFonts w:asciiTheme="minorEastAsia" w:hAnsiTheme="minorEastAsia"/>
          <w:b/>
          <w:bCs/>
          <w:color w:val="000000"/>
          <w:szCs w:val="21"/>
        </w:rPr>
      </w:pPr>
      <w:r>
        <w:rPr>
          <w:rFonts w:hint="eastAsia" w:asciiTheme="minorEastAsia" w:hAnsiTheme="minorEastAsia"/>
          <w:b/>
          <w:bCs/>
          <w:color w:val="000000"/>
          <w:szCs w:val="21"/>
        </w:rPr>
        <w:t>创新“校内与校外”相结合的顶岗实习评价体系，提高顶岗实习质量</w:t>
      </w:r>
    </w:p>
    <w:p>
      <w:pPr>
        <w:snapToGrid w:val="0"/>
        <w:spacing w:line="400" w:lineRule="exact"/>
        <w:ind w:firstLine="415" w:firstLineChars="198"/>
        <w:rPr>
          <w:rFonts w:asciiTheme="minorEastAsia" w:hAnsiTheme="minorEastAsia"/>
          <w:color w:val="000000"/>
          <w:szCs w:val="21"/>
        </w:rPr>
      </w:pPr>
      <w:r>
        <w:rPr>
          <w:rFonts w:hint="eastAsia" w:asciiTheme="minorEastAsia" w:hAnsiTheme="minorEastAsia"/>
          <w:color w:val="000000"/>
          <w:szCs w:val="21"/>
        </w:rPr>
        <w:t>建立“学生自我评价、企业评价和学校指导教师评价”相结合的顶岗实习校企多元评价体系，分别赋予权重分配：形成一个较科学、完整的顶岗实习评价体系，保证和提高顶岗实习质量。其中，学生自我评价占20%，主要以学生对自我的客观认知给出评价；企业评价占40%，企业评价以师傅的评价为主，侧重于顶岗实习的过程评价，主要对学生职业素养、专业技能、工作态度、执行力、完成任务的质量等方面按照量化标准评价；学校指导教师评价占40%，学校指导教师主要依据学校“顶岗实习网络平台”，根据实习周记、综合实践报告、实习单位走访检查结果，以及其它联系交流方式，对学生的顶岗能力、实习表现、实习成效等方面按照量化标准检查。</w:t>
      </w:r>
    </w:p>
    <w:p>
      <w:pPr>
        <w:numPr>
          <w:ilvl w:val="1"/>
          <w:numId w:val="3"/>
        </w:numPr>
        <w:spacing w:line="400" w:lineRule="exact"/>
        <w:rPr>
          <w:rFonts w:asciiTheme="minorEastAsia" w:hAnsiTheme="minorEastAsia"/>
          <w:b/>
          <w:bCs/>
          <w:color w:val="000000"/>
          <w:szCs w:val="21"/>
        </w:rPr>
      </w:pPr>
      <w:r>
        <w:rPr>
          <w:rFonts w:hint="eastAsia" w:asciiTheme="minorEastAsia" w:hAnsiTheme="minorEastAsia"/>
          <w:b/>
          <w:bCs/>
          <w:color w:val="000000"/>
          <w:szCs w:val="21"/>
        </w:rPr>
        <w:t>实现毕业生跟踪调查的常态化，形成专业的自我诊断与改进机制</w:t>
      </w:r>
    </w:p>
    <w:p>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通过第三方调查机构（如麦可思数据有限公司）进行毕业生常态化的互动走访、问卷调查、座谈等，建立和更新毕业生档案，调查毕业生首次就业岗位、2-3年的工作岗位以及5年后工作岗位的变迁，以此作为自我评价专业建设与岗位需求、课程体系与职业能力培养的参考，形成专业的自我诊断与改进机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27565"/>
      <w:docPartObj>
        <w:docPartGallery w:val="autotext"/>
      </w:docPartObj>
    </w:sdtPr>
    <w:sdtContent>
      <w:p>
        <w:pPr>
          <w:pStyle w:val="7"/>
          <w:jc w:val="center"/>
        </w:pPr>
        <w:r>
          <w:fldChar w:fldCharType="begin"/>
        </w:r>
        <w:r>
          <w:instrText xml:space="preserve">PAGE   \* MERGEFORMAT</w:instrText>
        </w:r>
        <w:r>
          <w:fldChar w:fldCharType="separate"/>
        </w:r>
        <w:r>
          <w:rPr>
            <w:lang w:val="zh-CN"/>
          </w:rPr>
          <w:t>17</w:t>
        </w:r>
        <w:r>
          <w:fldChar w:fldCharType="end"/>
        </w:r>
      </w:p>
    </w:sdtContent>
  </w:sdt>
  <w:p>
    <w:pPr>
      <w:pStyle w:val="7"/>
      <w:tabs>
        <w:tab w:val="center" w:pos="4723"/>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06C5B"/>
    <w:multiLevelType w:val="multilevel"/>
    <w:tmpl w:val="2A506C5B"/>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39EF547C"/>
    <w:multiLevelType w:val="multilevel"/>
    <w:tmpl w:val="39EF547C"/>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1.%2"/>
      <w:lvlJc w:val="left"/>
      <w:pPr>
        <w:ind w:left="992" w:hanging="567"/>
      </w:pPr>
      <w:rPr>
        <w:rFonts w:hint="default" w:ascii="Times New Roman" w:hAnsi="Times New Roman" w:cs="Times New Roman"/>
      </w:rPr>
    </w:lvl>
    <w:lvl w:ilvl="2" w:tentative="0">
      <w:start w:val="1"/>
      <w:numFmt w:val="decimal"/>
      <w:lvlText w:val="%1.%2.%3"/>
      <w:lvlJc w:val="left"/>
      <w:pPr>
        <w:ind w:left="1418" w:hanging="567"/>
      </w:pPr>
      <w:rPr>
        <w:rFonts w:hint="default" w:ascii="Times New Roman" w:hAnsi="Times New Roman" w:cs="Times New Roman"/>
      </w:rPr>
    </w:lvl>
    <w:lvl w:ilvl="3" w:tentative="0">
      <w:start w:val="1"/>
      <w:numFmt w:val="decimal"/>
      <w:lvlText w:val="%1.%2.%3.%4"/>
      <w:lvlJc w:val="left"/>
      <w:pPr>
        <w:ind w:left="1984" w:hanging="708"/>
      </w:pPr>
      <w:rPr>
        <w:rFonts w:hint="default" w:ascii="Times New Roman" w:hAnsi="Times New Roman" w:cs="Times New Roman"/>
      </w:rPr>
    </w:lvl>
    <w:lvl w:ilvl="4" w:tentative="0">
      <w:start w:val="1"/>
      <w:numFmt w:val="decimal"/>
      <w:lvlText w:val="%1.%2.%3.%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default" w:ascii="Times New Roman" w:hAnsi="Times New Roman" w:cs="Times New Roman"/>
      </w:rPr>
    </w:lvl>
    <w:lvl w:ilvl="7" w:tentative="0">
      <w:start w:val="1"/>
      <w:numFmt w:val="decimal"/>
      <w:lvlText w:val="%1.%2.%3.%4.%5.%6.%7.%8"/>
      <w:lvlJc w:val="left"/>
      <w:pPr>
        <w:ind w:left="4394" w:hanging="1418"/>
      </w:pPr>
      <w:rPr>
        <w:rFonts w:hint="default" w:ascii="Times New Roman" w:hAnsi="Times New Roman" w:cs="Times New Roman"/>
      </w:rPr>
    </w:lvl>
    <w:lvl w:ilvl="8" w:tentative="0">
      <w:start w:val="1"/>
      <w:numFmt w:val="decimal"/>
      <w:lvlText w:val="%1.%2.%3.%4.%5.%6.%7.%8.%9"/>
      <w:lvlJc w:val="left"/>
      <w:pPr>
        <w:ind w:left="5102" w:hanging="1700"/>
      </w:pPr>
      <w:rPr>
        <w:rFonts w:hint="default" w:ascii="Times New Roman" w:hAnsi="Times New Roman" w:cs="Times New Roman"/>
      </w:rPr>
    </w:lvl>
  </w:abstractNum>
  <w:abstractNum w:abstractNumId="2">
    <w:nsid w:val="459A65F2"/>
    <w:multiLevelType w:val="multilevel"/>
    <w:tmpl w:val="459A65F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E75"/>
    <w:rsid w:val="00017B51"/>
    <w:rsid w:val="00022619"/>
    <w:rsid w:val="00024F58"/>
    <w:rsid w:val="000300ED"/>
    <w:rsid w:val="0003657F"/>
    <w:rsid w:val="00036947"/>
    <w:rsid w:val="00055708"/>
    <w:rsid w:val="000700EA"/>
    <w:rsid w:val="00090FF6"/>
    <w:rsid w:val="000D3413"/>
    <w:rsid w:val="000D3F96"/>
    <w:rsid w:val="000F3C03"/>
    <w:rsid w:val="00113CDD"/>
    <w:rsid w:val="0012493D"/>
    <w:rsid w:val="001300E6"/>
    <w:rsid w:val="001639B3"/>
    <w:rsid w:val="00184D15"/>
    <w:rsid w:val="0019511B"/>
    <w:rsid w:val="00197059"/>
    <w:rsid w:val="001A21F8"/>
    <w:rsid w:val="001A65F3"/>
    <w:rsid w:val="001A71E3"/>
    <w:rsid w:val="001C3D42"/>
    <w:rsid w:val="001D5F7E"/>
    <w:rsid w:val="001F58C9"/>
    <w:rsid w:val="001F629F"/>
    <w:rsid w:val="00200FD5"/>
    <w:rsid w:val="002020C8"/>
    <w:rsid w:val="00210CAE"/>
    <w:rsid w:val="002142E4"/>
    <w:rsid w:val="00214B11"/>
    <w:rsid w:val="00214C15"/>
    <w:rsid w:val="00243346"/>
    <w:rsid w:val="002459E8"/>
    <w:rsid w:val="00245C9A"/>
    <w:rsid w:val="002620AB"/>
    <w:rsid w:val="0026574A"/>
    <w:rsid w:val="002725F7"/>
    <w:rsid w:val="00272900"/>
    <w:rsid w:val="00275974"/>
    <w:rsid w:val="00281378"/>
    <w:rsid w:val="00287A54"/>
    <w:rsid w:val="00291165"/>
    <w:rsid w:val="00294757"/>
    <w:rsid w:val="0029639D"/>
    <w:rsid w:val="00297AB2"/>
    <w:rsid w:val="00297B16"/>
    <w:rsid w:val="002A7473"/>
    <w:rsid w:val="002B0EF5"/>
    <w:rsid w:val="002B2866"/>
    <w:rsid w:val="002B2F11"/>
    <w:rsid w:val="002C1B29"/>
    <w:rsid w:val="002C2421"/>
    <w:rsid w:val="002F39B6"/>
    <w:rsid w:val="002F3D2D"/>
    <w:rsid w:val="002F4C77"/>
    <w:rsid w:val="00300141"/>
    <w:rsid w:val="003141B0"/>
    <w:rsid w:val="00317BE8"/>
    <w:rsid w:val="003212A9"/>
    <w:rsid w:val="00323D25"/>
    <w:rsid w:val="00324A42"/>
    <w:rsid w:val="00325C15"/>
    <w:rsid w:val="00357AF9"/>
    <w:rsid w:val="00361E33"/>
    <w:rsid w:val="00384AAA"/>
    <w:rsid w:val="00394448"/>
    <w:rsid w:val="003A4414"/>
    <w:rsid w:val="003B654B"/>
    <w:rsid w:val="003D4384"/>
    <w:rsid w:val="003E3731"/>
    <w:rsid w:val="003E5603"/>
    <w:rsid w:val="004019A5"/>
    <w:rsid w:val="00412EBF"/>
    <w:rsid w:val="0041392E"/>
    <w:rsid w:val="00430069"/>
    <w:rsid w:val="004305DE"/>
    <w:rsid w:val="004319DC"/>
    <w:rsid w:val="00465369"/>
    <w:rsid w:val="004655A7"/>
    <w:rsid w:val="00481E3E"/>
    <w:rsid w:val="00486AB0"/>
    <w:rsid w:val="00496C56"/>
    <w:rsid w:val="004970E8"/>
    <w:rsid w:val="004A2933"/>
    <w:rsid w:val="004B2741"/>
    <w:rsid w:val="004B45A2"/>
    <w:rsid w:val="004B6F89"/>
    <w:rsid w:val="004D1ECF"/>
    <w:rsid w:val="004E3225"/>
    <w:rsid w:val="004E7E1C"/>
    <w:rsid w:val="00516F3B"/>
    <w:rsid w:val="00526E2B"/>
    <w:rsid w:val="0052730B"/>
    <w:rsid w:val="00530292"/>
    <w:rsid w:val="00530FD8"/>
    <w:rsid w:val="00546FC5"/>
    <w:rsid w:val="005536C4"/>
    <w:rsid w:val="005A1793"/>
    <w:rsid w:val="005A5BC2"/>
    <w:rsid w:val="005A6093"/>
    <w:rsid w:val="005C4AAA"/>
    <w:rsid w:val="005C5670"/>
    <w:rsid w:val="005C5CCB"/>
    <w:rsid w:val="005C5F91"/>
    <w:rsid w:val="005D0C55"/>
    <w:rsid w:val="005D665F"/>
    <w:rsid w:val="005D70AE"/>
    <w:rsid w:val="005E1C60"/>
    <w:rsid w:val="005F4C63"/>
    <w:rsid w:val="006040F4"/>
    <w:rsid w:val="0060626F"/>
    <w:rsid w:val="00616982"/>
    <w:rsid w:val="006442D3"/>
    <w:rsid w:val="0066331E"/>
    <w:rsid w:val="00665AC9"/>
    <w:rsid w:val="006741CB"/>
    <w:rsid w:val="00674882"/>
    <w:rsid w:val="00684B46"/>
    <w:rsid w:val="00684ECF"/>
    <w:rsid w:val="00694A57"/>
    <w:rsid w:val="006A5270"/>
    <w:rsid w:val="006B0773"/>
    <w:rsid w:val="006C5B08"/>
    <w:rsid w:val="006D4F34"/>
    <w:rsid w:val="006E2216"/>
    <w:rsid w:val="00710D67"/>
    <w:rsid w:val="00715FDA"/>
    <w:rsid w:val="00716530"/>
    <w:rsid w:val="00717E08"/>
    <w:rsid w:val="00722702"/>
    <w:rsid w:val="00737509"/>
    <w:rsid w:val="00746BF7"/>
    <w:rsid w:val="0076241D"/>
    <w:rsid w:val="007769F1"/>
    <w:rsid w:val="00780162"/>
    <w:rsid w:val="00782693"/>
    <w:rsid w:val="007838B4"/>
    <w:rsid w:val="0078689D"/>
    <w:rsid w:val="007A5293"/>
    <w:rsid w:val="007B00E8"/>
    <w:rsid w:val="007B3D3B"/>
    <w:rsid w:val="00803312"/>
    <w:rsid w:val="00811F95"/>
    <w:rsid w:val="00817865"/>
    <w:rsid w:val="00823E04"/>
    <w:rsid w:val="00826727"/>
    <w:rsid w:val="0083375C"/>
    <w:rsid w:val="008411F4"/>
    <w:rsid w:val="0085039E"/>
    <w:rsid w:val="00852339"/>
    <w:rsid w:val="00854BDE"/>
    <w:rsid w:val="00856108"/>
    <w:rsid w:val="00875FCD"/>
    <w:rsid w:val="00880F4F"/>
    <w:rsid w:val="0088431C"/>
    <w:rsid w:val="00884A18"/>
    <w:rsid w:val="00891E4D"/>
    <w:rsid w:val="00893549"/>
    <w:rsid w:val="00895CA1"/>
    <w:rsid w:val="0089620D"/>
    <w:rsid w:val="008A51E3"/>
    <w:rsid w:val="008A5822"/>
    <w:rsid w:val="008A5F6B"/>
    <w:rsid w:val="008A7F3C"/>
    <w:rsid w:val="008B21A3"/>
    <w:rsid w:val="008C25BE"/>
    <w:rsid w:val="008D08D4"/>
    <w:rsid w:val="008E4DA9"/>
    <w:rsid w:val="008F4201"/>
    <w:rsid w:val="009114DC"/>
    <w:rsid w:val="00916D6D"/>
    <w:rsid w:val="00922D44"/>
    <w:rsid w:val="0092477E"/>
    <w:rsid w:val="00927AC5"/>
    <w:rsid w:val="00933811"/>
    <w:rsid w:val="009352EC"/>
    <w:rsid w:val="0094587D"/>
    <w:rsid w:val="00952373"/>
    <w:rsid w:val="0095301E"/>
    <w:rsid w:val="0096687F"/>
    <w:rsid w:val="00983A06"/>
    <w:rsid w:val="0098786C"/>
    <w:rsid w:val="00993C15"/>
    <w:rsid w:val="00996DF0"/>
    <w:rsid w:val="009C78A3"/>
    <w:rsid w:val="009D29F5"/>
    <w:rsid w:val="009D3727"/>
    <w:rsid w:val="009D39B1"/>
    <w:rsid w:val="00A03019"/>
    <w:rsid w:val="00A042EA"/>
    <w:rsid w:val="00A07508"/>
    <w:rsid w:val="00A07B4B"/>
    <w:rsid w:val="00A328F4"/>
    <w:rsid w:val="00A46273"/>
    <w:rsid w:val="00A75930"/>
    <w:rsid w:val="00A96187"/>
    <w:rsid w:val="00AA5591"/>
    <w:rsid w:val="00AB1A89"/>
    <w:rsid w:val="00AB3A91"/>
    <w:rsid w:val="00AB690F"/>
    <w:rsid w:val="00AF0CD1"/>
    <w:rsid w:val="00B00395"/>
    <w:rsid w:val="00B23F43"/>
    <w:rsid w:val="00B261EA"/>
    <w:rsid w:val="00B547FD"/>
    <w:rsid w:val="00B5557E"/>
    <w:rsid w:val="00B75D07"/>
    <w:rsid w:val="00B76FF0"/>
    <w:rsid w:val="00B8373D"/>
    <w:rsid w:val="00B910A9"/>
    <w:rsid w:val="00B93950"/>
    <w:rsid w:val="00B93D5E"/>
    <w:rsid w:val="00BA7D68"/>
    <w:rsid w:val="00BD374B"/>
    <w:rsid w:val="00BD5E7D"/>
    <w:rsid w:val="00BF1091"/>
    <w:rsid w:val="00BF3F91"/>
    <w:rsid w:val="00C01DCB"/>
    <w:rsid w:val="00C05E75"/>
    <w:rsid w:val="00C06316"/>
    <w:rsid w:val="00C2150F"/>
    <w:rsid w:val="00C23166"/>
    <w:rsid w:val="00C329E9"/>
    <w:rsid w:val="00C34D5A"/>
    <w:rsid w:val="00C4101C"/>
    <w:rsid w:val="00C46516"/>
    <w:rsid w:val="00C52ED9"/>
    <w:rsid w:val="00C53D4B"/>
    <w:rsid w:val="00C54290"/>
    <w:rsid w:val="00C573F7"/>
    <w:rsid w:val="00C62E6A"/>
    <w:rsid w:val="00C657CF"/>
    <w:rsid w:val="00C671C0"/>
    <w:rsid w:val="00C71EC2"/>
    <w:rsid w:val="00C974BC"/>
    <w:rsid w:val="00CA5781"/>
    <w:rsid w:val="00CD5DA7"/>
    <w:rsid w:val="00CE5486"/>
    <w:rsid w:val="00CF2EE6"/>
    <w:rsid w:val="00D0262D"/>
    <w:rsid w:val="00D12742"/>
    <w:rsid w:val="00D12B18"/>
    <w:rsid w:val="00D22DD2"/>
    <w:rsid w:val="00D23AAB"/>
    <w:rsid w:val="00D32CC2"/>
    <w:rsid w:val="00D33C60"/>
    <w:rsid w:val="00D35CDE"/>
    <w:rsid w:val="00D37FE9"/>
    <w:rsid w:val="00D50C52"/>
    <w:rsid w:val="00D543BC"/>
    <w:rsid w:val="00D563A4"/>
    <w:rsid w:val="00D62B7E"/>
    <w:rsid w:val="00D668A4"/>
    <w:rsid w:val="00D71D80"/>
    <w:rsid w:val="00D7536B"/>
    <w:rsid w:val="00D90434"/>
    <w:rsid w:val="00DA4081"/>
    <w:rsid w:val="00DA53C4"/>
    <w:rsid w:val="00DB060C"/>
    <w:rsid w:val="00DB619C"/>
    <w:rsid w:val="00DB6461"/>
    <w:rsid w:val="00DB799B"/>
    <w:rsid w:val="00DD4732"/>
    <w:rsid w:val="00DE61AD"/>
    <w:rsid w:val="00E045A4"/>
    <w:rsid w:val="00E16B68"/>
    <w:rsid w:val="00E16BEF"/>
    <w:rsid w:val="00E3103E"/>
    <w:rsid w:val="00E410B7"/>
    <w:rsid w:val="00E43A88"/>
    <w:rsid w:val="00E470ED"/>
    <w:rsid w:val="00E47693"/>
    <w:rsid w:val="00E55D7A"/>
    <w:rsid w:val="00E62E0D"/>
    <w:rsid w:val="00E63503"/>
    <w:rsid w:val="00E72248"/>
    <w:rsid w:val="00E94BBC"/>
    <w:rsid w:val="00EB3E73"/>
    <w:rsid w:val="00EB73C0"/>
    <w:rsid w:val="00EB7474"/>
    <w:rsid w:val="00EC1D13"/>
    <w:rsid w:val="00EC2AFA"/>
    <w:rsid w:val="00EC3CCD"/>
    <w:rsid w:val="00ED4929"/>
    <w:rsid w:val="00ED4BE5"/>
    <w:rsid w:val="00ED7F17"/>
    <w:rsid w:val="00EE3D6C"/>
    <w:rsid w:val="00EF3D52"/>
    <w:rsid w:val="00F234D5"/>
    <w:rsid w:val="00F344FE"/>
    <w:rsid w:val="00F420CB"/>
    <w:rsid w:val="00F42CCB"/>
    <w:rsid w:val="00F47BD7"/>
    <w:rsid w:val="00F545F4"/>
    <w:rsid w:val="00F6520C"/>
    <w:rsid w:val="00F7304C"/>
    <w:rsid w:val="00F75049"/>
    <w:rsid w:val="00F849F8"/>
    <w:rsid w:val="00F857F0"/>
    <w:rsid w:val="00F86105"/>
    <w:rsid w:val="00F9125F"/>
    <w:rsid w:val="00F96699"/>
    <w:rsid w:val="00FA7658"/>
    <w:rsid w:val="00FB0762"/>
    <w:rsid w:val="00FC2F2B"/>
    <w:rsid w:val="00FD0095"/>
    <w:rsid w:val="00FE1224"/>
    <w:rsid w:val="00FF0258"/>
    <w:rsid w:val="00FF1FEF"/>
    <w:rsid w:val="05691F6B"/>
    <w:rsid w:val="0D012CF5"/>
    <w:rsid w:val="1152584B"/>
    <w:rsid w:val="15743DE1"/>
    <w:rsid w:val="177F4029"/>
    <w:rsid w:val="17A04A8F"/>
    <w:rsid w:val="185F0FD8"/>
    <w:rsid w:val="18740B91"/>
    <w:rsid w:val="19DC4CAF"/>
    <w:rsid w:val="19F66382"/>
    <w:rsid w:val="21262F59"/>
    <w:rsid w:val="21367292"/>
    <w:rsid w:val="24945907"/>
    <w:rsid w:val="256D7629"/>
    <w:rsid w:val="285F0E46"/>
    <w:rsid w:val="30A75F25"/>
    <w:rsid w:val="35AC1950"/>
    <w:rsid w:val="381F61DE"/>
    <w:rsid w:val="39C0047F"/>
    <w:rsid w:val="3A5F1625"/>
    <w:rsid w:val="446A5B3A"/>
    <w:rsid w:val="494271DA"/>
    <w:rsid w:val="4DA0707B"/>
    <w:rsid w:val="4E147EA6"/>
    <w:rsid w:val="51C54A0F"/>
    <w:rsid w:val="52FD1F06"/>
    <w:rsid w:val="53204D33"/>
    <w:rsid w:val="57F20533"/>
    <w:rsid w:val="58145904"/>
    <w:rsid w:val="59C8639B"/>
    <w:rsid w:val="5F922046"/>
    <w:rsid w:val="64A45F0B"/>
    <w:rsid w:val="64E51D2E"/>
    <w:rsid w:val="682A1905"/>
    <w:rsid w:val="6D454BEC"/>
    <w:rsid w:val="6E08284F"/>
    <w:rsid w:val="71C56859"/>
    <w:rsid w:val="730B4F1B"/>
    <w:rsid w:val="74240EA9"/>
    <w:rsid w:val="785F52DA"/>
    <w:rsid w:val="786B4ED1"/>
    <w:rsid w:val="79184FB4"/>
    <w:rsid w:val="7EC42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adjustRightInd w:val="0"/>
      <w:snapToGrid w:val="0"/>
      <w:spacing w:before="100" w:beforeAutospacing="1" w:after="100" w:afterAutospacing="1"/>
      <w:outlineLvl w:val="0"/>
    </w:pPr>
    <w:rPr>
      <w:b/>
      <w:bCs/>
      <w:kern w:val="44"/>
      <w:sz w:val="28"/>
      <w:szCs w:val="44"/>
    </w:rPr>
  </w:style>
  <w:style w:type="paragraph" w:styleId="3">
    <w:name w:val="heading 2"/>
    <w:basedOn w:val="1"/>
    <w:next w:val="1"/>
    <w:link w:val="21"/>
    <w:unhideWhenUsed/>
    <w:qFormat/>
    <w:uiPriority w:val="9"/>
    <w:pPr>
      <w:keepNext/>
      <w:keepLines/>
      <w:snapToGrid w:val="0"/>
      <w:spacing w:before="100" w:beforeAutospacing="1" w:after="100" w:afterAutospacing="1"/>
      <w:outlineLvl w:val="1"/>
    </w:pPr>
    <w:rPr>
      <w:rFonts w:asciiTheme="majorHAnsi" w:hAnsiTheme="majorHAnsi" w:eastAsiaTheme="majorEastAsia" w:cstheme="majorBidi"/>
      <w:b/>
      <w:bCs/>
      <w:sz w:val="28"/>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6"/>
    <w:semiHidden/>
    <w:unhideWhenUsed/>
    <w:qFormat/>
    <w:uiPriority w:val="99"/>
    <w:pPr>
      <w:jc w:val="left"/>
    </w:pPr>
  </w:style>
  <w:style w:type="paragraph" w:styleId="5">
    <w:name w:val="toc 3"/>
    <w:basedOn w:val="1"/>
    <w:next w:val="1"/>
    <w:unhideWhenUsed/>
    <w:qFormat/>
    <w:uiPriority w:val="39"/>
    <w:pPr>
      <w:ind w:left="840" w:leftChars="400"/>
    </w:pPr>
  </w:style>
  <w:style w:type="paragraph" w:styleId="6">
    <w:name w:val="Balloon Text"/>
    <w:basedOn w:val="1"/>
    <w:link w:val="24"/>
    <w:semiHidden/>
    <w:unhideWhenUsed/>
    <w:uiPriority w:val="99"/>
    <w:rPr>
      <w:sz w:val="18"/>
      <w:szCs w:val="18"/>
    </w:rPr>
  </w:style>
  <w:style w:type="paragraph" w:styleId="7">
    <w:name w:val="footer"/>
    <w:basedOn w:val="1"/>
    <w:link w:val="23"/>
    <w:unhideWhenUsed/>
    <w:qFormat/>
    <w:uiPriority w:val="0"/>
    <w:pPr>
      <w:tabs>
        <w:tab w:val="center" w:pos="4153"/>
        <w:tab w:val="right" w:pos="8306"/>
      </w:tabs>
      <w:snapToGrid w:val="0"/>
      <w:jc w:val="left"/>
    </w:pPr>
    <w:rPr>
      <w:sz w:val="18"/>
      <w:szCs w:val="18"/>
    </w:rPr>
  </w:style>
  <w:style w:type="paragraph" w:styleId="8">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paragraph" w:styleId="11">
    <w:name w:val="HTML Preformatted"/>
    <w:basedOn w:val="1"/>
    <w:link w:val="28"/>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4"/>
    <w:next w:val="4"/>
    <w:link w:val="27"/>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character" w:customStyle="1" w:styleId="20">
    <w:name w:val="标题 1 Char"/>
    <w:basedOn w:val="16"/>
    <w:link w:val="2"/>
    <w:qFormat/>
    <w:uiPriority w:val="9"/>
    <w:rPr>
      <w:b/>
      <w:bCs/>
      <w:kern w:val="44"/>
      <w:sz w:val="28"/>
      <w:szCs w:val="44"/>
    </w:rPr>
  </w:style>
  <w:style w:type="character" w:customStyle="1" w:styleId="21">
    <w:name w:val="标题 2 Char"/>
    <w:basedOn w:val="16"/>
    <w:link w:val="3"/>
    <w:uiPriority w:val="9"/>
    <w:rPr>
      <w:rFonts w:asciiTheme="majorHAnsi" w:hAnsiTheme="majorHAnsi" w:eastAsiaTheme="majorEastAsia" w:cstheme="majorBidi"/>
      <w:b/>
      <w:bCs/>
      <w:sz w:val="28"/>
      <w:szCs w:val="32"/>
    </w:rPr>
  </w:style>
  <w:style w:type="character" w:customStyle="1" w:styleId="22">
    <w:name w:val="页眉 Char"/>
    <w:basedOn w:val="16"/>
    <w:link w:val="8"/>
    <w:uiPriority w:val="99"/>
    <w:rPr>
      <w:sz w:val="18"/>
      <w:szCs w:val="18"/>
    </w:rPr>
  </w:style>
  <w:style w:type="character" w:customStyle="1" w:styleId="23">
    <w:name w:val="页脚 Char"/>
    <w:basedOn w:val="16"/>
    <w:link w:val="7"/>
    <w:uiPriority w:val="0"/>
    <w:rPr>
      <w:sz w:val="18"/>
      <w:szCs w:val="18"/>
    </w:rPr>
  </w:style>
  <w:style w:type="character" w:customStyle="1" w:styleId="24">
    <w:name w:val="批注框文本 Char"/>
    <w:basedOn w:val="16"/>
    <w:link w:val="6"/>
    <w:semiHidden/>
    <w:qFormat/>
    <w:uiPriority w:val="99"/>
    <w:rPr>
      <w:sz w:val="18"/>
      <w:szCs w:val="18"/>
    </w:rPr>
  </w:style>
  <w:style w:type="paragraph" w:customStyle="1" w:styleId="25">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Cs w:val="28"/>
    </w:rPr>
  </w:style>
  <w:style w:type="character" w:customStyle="1" w:styleId="26">
    <w:name w:val="批注文字 Char"/>
    <w:basedOn w:val="16"/>
    <w:link w:val="4"/>
    <w:semiHidden/>
    <w:qFormat/>
    <w:uiPriority w:val="99"/>
  </w:style>
  <w:style w:type="character" w:customStyle="1" w:styleId="27">
    <w:name w:val="批注主题 Char"/>
    <w:basedOn w:val="26"/>
    <w:link w:val="13"/>
    <w:semiHidden/>
    <w:uiPriority w:val="99"/>
    <w:rPr>
      <w:b/>
      <w:bCs/>
    </w:rPr>
  </w:style>
  <w:style w:type="character" w:customStyle="1" w:styleId="28">
    <w:name w:val="HTML 预设格式 Char"/>
    <w:basedOn w:val="16"/>
    <w:link w:val="11"/>
    <w:qFormat/>
    <w:uiPriority w:val="99"/>
    <w:rPr>
      <w:rFonts w:ascii="宋体" w:hAnsi="宋体" w:eastAsia="宋体" w:cs="宋体"/>
      <w:kern w:val="0"/>
      <w:sz w:val="24"/>
      <w:szCs w:val="24"/>
    </w:rPr>
  </w:style>
  <w:style w:type="paragraph" w:styleId="2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69944-7FFA-4D9A-B992-982CB97CA426}">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27</Pages>
  <Words>2964</Words>
  <Characters>16900</Characters>
  <Lines>140</Lines>
  <Paragraphs>39</Paragraphs>
  <TotalTime>0</TotalTime>
  <ScaleCrop>false</ScaleCrop>
  <LinksUpToDate>false</LinksUpToDate>
  <CharactersWithSpaces>19825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2019-07-29T02:29:00Z</dcterms:created>
  <dc:creator>谭立霞</dc:creator>
  <cp:lastModifiedBy>侯林锋</cp:lastModifiedBy>
  <dcterms:modified xsi:type="dcterms:W3CDTF">2020-05-19T06:49:22Z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