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Toc241815465"/>
      <w:bookmarkStart w:id="1" w:name="_Toc241725852"/>
      <w:r>
        <w:rPr>
          <w:rStyle w:val="10"/>
          <w:rFonts w:hint="eastAsia"/>
          <w:b w:val="0"/>
          <w:bCs w:val="0"/>
        </w:rPr>
        <w:t>线性代数课程标准</w:t>
      </w:r>
      <w:bookmarkEnd w:id="0"/>
      <w:bookmarkEnd w:id="1"/>
    </w:p>
    <w:tbl>
      <w:tblPr>
        <w:tblStyle w:val="8"/>
        <w:tblW w:w="1064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29"/>
        <w:gridCol w:w="524"/>
        <w:gridCol w:w="840"/>
        <w:gridCol w:w="735"/>
        <w:gridCol w:w="495"/>
        <w:gridCol w:w="456"/>
        <w:gridCol w:w="294"/>
        <w:gridCol w:w="994"/>
        <w:gridCol w:w="251"/>
        <w:gridCol w:w="368"/>
        <w:gridCol w:w="877"/>
        <w:gridCol w:w="247"/>
        <w:gridCol w:w="228"/>
        <w:gridCol w:w="770"/>
        <w:gridCol w:w="746"/>
        <w:gridCol w:w="500"/>
        <w:gridCol w:w="12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一、课程基本信息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课程编码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03101002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课程性质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课程类别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适用专业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计算机各专业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开设学期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一学期</w:t>
            </w:r>
          </w:p>
        </w:tc>
        <w:tc>
          <w:tcPr>
            <w:tcW w:w="12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学分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1.5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编制人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胡煜</w:t>
            </w:r>
          </w:p>
        </w:tc>
        <w:tc>
          <w:tcPr>
            <w:tcW w:w="12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审核人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单家凌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2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编制时间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020.11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2020-11</w:t>
            </w:r>
            <w:r>
              <w:rPr>
                <w:rFonts w:hint="eastAsia"/>
                <w:szCs w:val="21"/>
                <w:lang w:val="en-US" w:eastAsia="zh-CN"/>
              </w:rPr>
              <w:t>-23</w:t>
            </w:r>
            <w:bookmarkStart w:id="2" w:name="_GoBack"/>
            <w:bookmarkEnd w:id="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课程定位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ind w:firstLine="630" w:firstLineChars="300"/>
              <w:rPr>
                <w:szCs w:val="21"/>
              </w:rPr>
            </w:pPr>
            <w:r>
              <w:rPr>
                <w:rFonts w:hint="eastAsia"/>
              </w:rPr>
              <w:t>本</w:t>
            </w:r>
            <w:r>
              <w:t>课程是高</w:t>
            </w:r>
            <w:r>
              <w:rPr>
                <w:rFonts w:hint="eastAsia"/>
              </w:rPr>
              <w:t>职理</w:t>
            </w:r>
            <w:r>
              <w:t>工科</w:t>
            </w:r>
            <w:r>
              <w:rPr>
                <w:rFonts w:hint="eastAsia"/>
              </w:rPr>
              <w:t>经济管理</w:t>
            </w:r>
            <w:r>
              <w:t>各专业学生的一门</w:t>
            </w:r>
            <w:r>
              <w:rPr>
                <w:rFonts w:hint="eastAsia"/>
              </w:rPr>
              <w:t>选</w:t>
            </w:r>
            <w:r>
              <w:t>修的重要基础理论</w:t>
            </w:r>
            <w:r>
              <w:rPr>
                <w:rFonts w:hint="eastAsia" w:ascii="宋体" w:hAnsi="宋体"/>
                <w:sz w:val="22"/>
                <w:szCs w:val="24"/>
              </w:rPr>
              <w:t>，通过本课程的学习，要使学生掌握必要的代数基础。是大数据处理必备的重要基础。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本课程通过介绍线性代数的基本知识，帮助同学们掌握线性代数的基本概念、基本理论以及基本的解题方法，培养大家分析问题和解决问题的能力，并为后续课程的学习奠定必备的基础。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二、课程对应的岗位及能力要求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岗位任务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能力要求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求行列式的值及矩阵运算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对角线展开，降阶、初等变换等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解线性方程组及求特征值和特征向量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基础解系、解的结构与</w:t>
            </w:r>
            <w:r>
              <w:rPr>
                <w:rFonts w:hint="eastAsia"/>
                <w:sz w:val="24"/>
                <w:szCs w:val="24"/>
              </w:rPr>
              <w:t>相似矩阵与二次型</w:t>
            </w:r>
            <w:r>
              <w:rPr>
                <w:rFonts w:hint="eastAsia" w:ascii="宋体" w:hAnsi="宋体"/>
                <w:szCs w:val="21"/>
              </w:rPr>
              <w:t>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应用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ind w:firstLine="1760" w:firstLineChars="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通过数学建模及求解解决实际问题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三、课程基本目标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能力描述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知识目标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职业技能目标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职业素养目标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行列式</w:t>
            </w:r>
            <w:r>
              <w:rPr>
                <w:rFonts w:hint="eastAsia" w:ascii="Helvetica" w:hAnsi="Helvetica" w:cs="Helvetica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矩阵</w:t>
            </w:r>
            <w:r>
              <w:rPr>
                <w:rFonts w:hint="eastAsia" w:ascii="Helvetica" w:hAnsi="Helvetica" w:cs="Helvetica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初等变换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秩</w:t>
            </w:r>
            <w:r>
              <w:rPr>
                <w:rFonts w:hint="eastAsia" w:ascii="Helvetica" w:hAnsi="Helvetica" w:cs="Helvetica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特征值与特征向量、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行列式</w:t>
            </w:r>
            <w:r>
              <w:rPr>
                <w:rFonts w:hint="eastAsia" w:ascii="Helvetica" w:hAnsi="Helvetica" w:cs="Helvetica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矩阵</w:t>
            </w:r>
            <w:r>
              <w:rPr>
                <w:rFonts w:hint="eastAsia" w:ascii="Helvetica" w:hAnsi="Helvetica" w:cs="Helvetica"/>
                <w:color w:val="333333"/>
                <w:shd w:val="clear" w:color="auto" w:fill="FFFFFF"/>
              </w:rPr>
              <w:t>知识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2、线性关系、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特征值与特征向量</w:t>
            </w:r>
            <w:r>
              <w:rPr>
                <w:rFonts w:hint="eastAsia" w:ascii="Helvetica" w:hAnsi="Helvetica" w:cs="Helvetica"/>
                <w:color w:val="333333"/>
                <w:shd w:val="clear" w:color="auto" w:fill="FFFFFF"/>
              </w:rPr>
              <w:t>知识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1、学生的数学素养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2、处能力理简单实际问题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1、沟通能力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2、数学表达能力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1、协同能力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2、数学的表达能力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1、沟通能力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2、按时交付能力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方法能力</w:t>
            </w:r>
          </w:p>
        </w:tc>
        <w:tc>
          <w:tcPr>
            <w:tcW w:w="3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1、数学实际应用的求解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2、软件的应用</w:t>
            </w:r>
          </w:p>
        </w:tc>
        <w:tc>
          <w:tcPr>
            <w:tcW w:w="3259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1、数学的表达能力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2、数学的计算能力</w:t>
            </w:r>
          </w:p>
        </w:tc>
        <w:tc>
          <w:tcPr>
            <w:tcW w:w="326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1、处理问题能力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2、协助能力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职业技能证书考核要求</w:t>
            </w:r>
          </w:p>
        </w:tc>
        <w:tc>
          <w:tcPr>
            <w:tcW w:w="747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四、教学内容及学时分配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内容说明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1．二阶行列式与三阶行列式；行列式的性质；克莱姆法则；。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2．矩阵的概念及应用，熟悉几种特殊矩阵；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3．矩阵的运算：线性运算、乘法、转置及其运算规律，方阵的幂，对称矩阵；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4．逆矩阵的概念，伴随矩阵及其与逆矩阵的关系，逆矩阵的运算性质，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5．矩阵方程及其解法，矩阵多项式及其运算；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6．分块矩阵的概念，分块矩阵的运算；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7．矩阵的初等变换，初等矩阵，求逆矩阵的初等变换法；矩阵的秩及其求法。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8．解线性方程组的消元法；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9．向量组的线性组合；向量组的线性相关性及其判定；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10．极大线性无关向量组，向量组的秩，矩阵与向量组秩的关系；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11．向量空间与子空间，向量空间的基与维数，三维向量空间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12．齐次线性方程组解的结构，非齐次线性方程组解的结构；线性代数方程组的应用。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13.将线性代数方程组运用到数学模型中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 向量的内积、矩阵的特征值与特征向量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15. 相似矩阵与二次型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教学内容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知识模块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考核目标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行列式的定义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行列式的性质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克莱姆法则与习题课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矩阵的概念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矩阵的运算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逆矩阵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矩阵的初等变换与矩阵的秩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hint="eastAsia"/>
              </w:rPr>
              <w:t>矩阵的应用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向量组的线性相关性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向量组的秩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线性方程组的结构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线性方程组的应用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向量的内积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矩阵的特征值与特征向量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447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相似矩阵与二次型</w:t>
            </w:r>
          </w:p>
        </w:tc>
        <w:tc>
          <w:tcPr>
            <w:tcW w:w="249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必修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学习基础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前导课程：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初等数学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服务课程：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（或后续相关课程）</w:t>
            </w:r>
          </w:p>
          <w:p>
            <w:pPr>
              <w:spacing w:line="300" w:lineRule="auto"/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软件、网络、信息、物联网、人工智能需要数据运算的相关后续课程</w:t>
            </w:r>
          </w:p>
          <w:p>
            <w:pPr>
              <w:spacing w:line="300" w:lineRule="auto"/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运筹学，图论、数理统计，数学模型，数值分析，小波分析。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学生基础：</w:t>
            </w:r>
          </w:p>
          <w:p>
            <w:pPr>
              <w:spacing w:line="300" w:lineRule="auto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学生的基本条件：具备课程需要的抽象思维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学生的基本素质：</w:t>
            </w:r>
            <w:r>
              <w:rPr>
                <w:rFonts w:hint="eastAsia" w:ascii="宋体" w:hAnsi="宋体"/>
                <w:sz w:val="24"/>
                <w:szCs w:val="24"/>
              </w:rPr>
              <w:t>数学知识的表达能力，</w:t>
            </w:r>
            <w:r>
              <w:rPr>
                <w:rFonts w:hint="eastAsia"/>
                <w:sz w:val="22"/>
                <w:szCs w:val="24"/>
              </w:rPr>
              <w:t>有较强的逻辑思维能力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6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考核评价</w:t>
            </w:r>
          </w:p>
        </w:tc>
        <w:tc>
          <w:tcPr>
            <w:tcW w:w="2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考评项1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期末考试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考评项2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考勤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考评项3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随堂测试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考评项4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作业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考评项5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课堂表现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线上：网上测试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或线下：考试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线上：签到及微信（腾讯会议）记录、线下考勤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网站统计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线上：课堂伴侣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线下：微信图片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（考核方式）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线上：微信（腾讯会议）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线下：回答问题表现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（权重系数）看学校情况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0.4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</w:t>
            </w:r>
          </w:p>
        </w:tc>
        <w:tc>
          <w:tcPr>
            <w:tcW w:w="17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0，25</w:t>
            </w:r>
          </w:p>
        </w:tc>
        <w:tc>
          <w:tcPr>
            <w:tcW w:w="17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0.15</w:t>
            </w:r>
          </w:p>
        </w:tc>
        <w:tc>
          <w:tcPr>
            <w:tcW w:w="1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（权重系数）</w:t>
            </w:r>
          </w:p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6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课程教学效果评价方法：</w:t>
            </w:r>
          </w:p>
          <w:p>
            <w:pPr>
              <w:spacing w:line="300" w:lineRule="auto"/>
              <w:ind w:firstLine="660" w:firstLineChars="300"/>
              <w:rPr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以“保障学生实际工作能力培养”为指针，以有利于学生主动性和创造力的开发利用、有利于实施“教学全过程动态质量管理”、有利于提高课程实施的“费效比”为原则，利用学院“学生评课、督导评课、同行评课、校外专家（专业指导委员会）评课”制度，对课程教学效果进行评价。</w:t>
            </w:r>
          </w:p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五、教学设计及教学方法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</w:rPr>
              <w:t>、总体教学设计</w:t>
            </w:r>
          </w:p>
        </w:tc>
        <w:tc>
          <w:tcPr>
            <w:tcW w:w="9701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ind w:left="301" w:hanging="301" w:hangingChars="137"/>
              <w:jc w:val="left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一、教学方法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1．根据每个情境教学任务的需要，结合学生的学习特点和基础素质，充分利用学院现有教学资源来设计教学进程、教学方法和手段。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2．在知识与技能上采用讲授法、多媒体演示法、虚拟软件等多种教学手段。</w:t>
            </w:r>
          </w:p>
          <w:p>
            <w:pPr>
              <w:spacing w:line="360" w:lineRule="auto"/>
              <w:ind w:left="301" w:hanging="301" w:hangingChars="137"/>
              <w:jc w:val="left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3．在职业能力获取上采用案例分析法、任务驱动教学法、项目教学法。</w:t>
            </w:r>
          </w:p>
          <w:p>
            <w:pPr>
              <w:spacing w:line="360" w:lineRule="auto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二、具体实施要求：</w:t>
            </w:r>
          </w:p>
          <w:p>
            <w:pPr>
              <w:numPr>
                <w:ilvl w:val="0"/>
                <w:numId w:val="1"/>
              </w:numPr>
              <w:tabs>
                <w:tab w:val="left" w:pos="331"/>
              </w:tabs>
              <w:spacing w:line="360" w:lineRule="auto"/>
              <w:ind w:left="436" w:hanging="436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老师课前要做好充分准备，如准备好课件、准备好学习与教学环境；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上课前向学生提供课件、视频，并要求学生也准备好自己的学习和使用环境；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上课时线上使用多媒体设备进行课件演示给学生；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本课程由讲授、上机实验（数学软件的认识与实践）、作业练习</w:t>
            </w:r>
            <w:r>
              <w:rPr>
                <w:rFonts w:hint="eastAsia" w:ascii="宋体" w:hAnsi="宋体" w:cs="宋体"/>
                <w:kern w:val="0"/>
                <w:szCs w:val="21"/>
              </w:rPr>
              <w:t>及演讲四</w:t>
            </w:r>
            <w:r>
              <w:rPr>
                <w:rFonts w:ascii="宋体" w:hAnsi="宋体" w:cs="宋体"/>
                <w:kern w:val="0"/>
                <w:szCs w:val="21"/>
              </w:rPr>
              <w:t>个环节组成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/>
                <w:sz w:val="22"/>
                <w:szCs w:val="24"/>
              </w:rPr>
              <w:t>有针对性的对学生的演讲进行总结与点评。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老师通过检查同学们上交的作业，发现新的问题并进行再次总结；</w:t>
            </w:r>
          </w:p>
          <w:p>
            <w:pPr>
              <w:numPr>
                <w:ilvl w:val="0"/>
                <w:numId w:val="1"/>
              </w:numPr>
              <w:tabs>
                <w:tab w:val="left" w:pos="436"/>
              </w:tabs>
              <w:spacing w:line="360" w:lineRule="auto"/>
              <w:ind w:left="541" w:hanging="541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加强与学生的沟通，公布老师与学生沟通的渠道，如QQ、Email、微信、办公地点、及必要的面对面沟通方式，如电话号码或约见等方式；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7. 教学过程中，要根据权重安排，突出重点，强调学生的动手能力。</w:t>
            </w:r>
          </w:p>
          <w:p>
            <w:pPr>
              <w:spacing w:line="300" w:lineRule="auto"/>
              <w:rPr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</w:rPr>
              <w:t>、项目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情景教学方法</w:t>
            </w: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教学任务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情景实施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任务一：</w:t>
            </w:r>
            <w:r>
              <w:rPr>
                <w:rFonts w:hint="eastAsia" w:ascii="宋体" w:hAnsi="宋体"/>
                <w:szCs w:val="21"/>
              </w:rPr>
              <w:t>行列式的定义</w:t>
            </w:r>
          </w:p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现场教学：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1．教学内容：行列式的定义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2．教学方法：多媒体及视频教学、案例演示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任务（二：</w:t>
            </w:r>
            <w:r>
              <w:rPr>
                <w:rFonts w:hint="eastAsia" w:ascii="宋体" w:hAnsi="宋体"/>
                <w:szCs w:val="21"/>
              </w:rPr>
              <w:t>行列式的性质</w:t>
            </w:r>
          </w:p>
          <w:p>
            <w:pPr>
              <w:spacing w:line="300" w:lineRule="auto"/>
              <w:rPr>
                <w:szCs w:val="21"/>
              </w:rPr>
            </w:pPr>
          </w:p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现场教学：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1．教学内容：克莱姆法则与习题课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2．教学方法：多媒体及视频教学、案例演示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任务（三</w:t>
            </w:r>
            <w:r>
              <w:rPr>
                <w:rFonts w:hint="eastAsia" w:ascii="宋体" w:hAnsi="宋体"/>
                <w:szCs w:val="21"/>
              </w:rPr>
              <w:t>: 克莱姆法则与习题课</w:t>
            </w:r>
          </w:p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1．教学内容：克莱姆法则与习题课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2．教学方法：多媒体及视频教学、案例演示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任务（</w:t>
            </w:r>
            <w:r>
              <w:rPr>
                <w:rFonts w:hint="eastAsia" w:ascii="宋体" w:hAnsi="宋体"/>
                <w:szCs w:val="21"/>
              </w:rPr>
              <w:t>四）: 矩阵的概念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1．教学内容：克莱姆法则与习题课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2．教学方法：多媒体及视频教学、案例演示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任务（</w:t>
            </w:r>
            <w:r>
              <w:rPr>
                <w:rFonts w:hint="eastAsia" w:ascii="宋体" w:hAnsi="宋体"/>
                <w:szCs w:val="21"/>
              </w:rPr>
              <w:t>五）: 矩阵的运算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任务（六）</w:t>
            </w:r>
            <w:r>
              <w:rPr>
                <w:rFonts w:hint="eastAsia" w:ascii="宋体" w:hAnsi="宋体"/>
                <w:szCs w:val="21"/>
              </w:rPr>
              <w:t>: 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任务（七）：</w:t>
            </w:r>
            <w:r>
              <w:rPr>
                <w:rFonts w:hint="eastAsia"/>
              </w:rPr>
              <w:t>矩阵的初等变换与矩阵的秩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szCs w:val="21"/>
              </w:rPr>
              <w:t>任务（八）：</w:t>
            </w:r>
            <w:r>
              <w:rPr>
                <w:rFonts w:hint="eastAsia"/>
              </w:rPr>
              <w:t>矩阵的应用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szCs w:val="21"/>
              </w:rPr>
              <w:t>任务（九）：</w:t>
            </w:r>
            <w:r>
              <w:rPr>
                <w:rFonts w:hint="eastAsia"/>
              </w:rPr>
              <w:t>向量组的线性相关性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szCs w:val="21"/>
              </w:rPr>
              <w:t>任务（十）：</w:t>
            </w:r>
            <w:r>
              <w:rPr>
                <w:rFonts w:hint="eastAsia"/>
              </w:rPr>
              <w:t>向量组的秩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szCs w:val="21"/>
              </w:rPr>
              <w:t>任务（十一）：</w:t>
            </w:r>
            <w:r>
              <w:rPr>
                <w:rFonts w:hint="eastAsia"/>
              </w:rPr>
              <w:t>线性方程组的结构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szCs w:val="21"/>
              </w:rPr>
              <w:t>任务（十二）：</w:t>
            </w:r>
            <w:r>
              <w:rPr>
                <w:rFonts w:hint="eastAsia"/>
              </w:rPr>
              <w:t>线性方程组的应用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szCs w:val="21"/>
              </w:rPr>
              <w:t>任务（十三）：</w:t>
            </w:r>
            <w:r>
              <w:rPr>
                <w:rFonts w:hint="eastAsia"/>
              </w:rPr>
              <w:t>向量的内积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szCs w:val="21"/>
              </w:rPr>
              <w:t>任务（十四）：</w:t>
            </w:r>
            <w:r>
              <w:rPr>
                <w:rFonts w:hint="eastAsia"/>
              </w:rPr>
              <w:t>矩阵的特征值与特征向量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44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  <w:szCs w:val="21"/>
              </w:rPr>
              <w:t>任务（十五）：</w:t>
            </w:r>
            <w:r>
              <w:rPr>
                <w:rFonts w:hint="eastAsia"/>
              </w:rPr>
              <w:t>相似矩阵与二次型</w:t>
            </w:r>
          </w:p>
        </w:tc>
        <w:tc>
          <w:tcPr>
            <w:tcW w:w="4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1．教学内容：逆矩阵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2．教学方法：多媒体教学、案例演示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3．教学手段：教学做一体化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4．教学环节：</w:t>
            </w:r>
          </w:p>
          <w:p>
            <w:pPr>
              <w:spacing w:line="300" w:lineRule="auto"/>
              <w:ind w:left="525" w:hanging="525" w:hanging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（1）多媒体课件内容及视频讲解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（2）学生进行课堂练习，老师进行现场辅导以解决同学们中存在的问题</w:t>
            </w: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（3）老师对学生练习的结果进行验收与点评，重点指出同学们中共性的问题。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教学条件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1．线上混合教学平台，微信、腾讯课堂（2</w:t>
            </w:r>
            <w:r>
              <w:rPr>
                <w:sz w:val="22"/>
                <w:szCs w:val="24"/>
              </w:rPr>
              <w:t>020</w:t>
            </w:r>
            <w:r>
              <w:rPr>
                <w:rFonts w:hint="eastAsia"/>
                <w:sz w:val="22"/>
                <w:szCs w:val="24"/>
              </w:rPr>
              <w:t>上半年）。线下：课堂多媒体内容补充。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教学资源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1．</w:t>
            </w:r>
            <w:r>
              <w:rPr>
                <w:rFonts w:hint="eastAsia"/>
                <w:szCs w:val="21"/>
              </w:rPr>
              <w:tab/>
            </w:r>
            <w:r>
              <w:rPr>
                <w:rFonts w:hint="eastAsia" w:ascii="宋体" w:hAnsi="宋体"/>
                <w:szCs w:val="21"/>
              </w:rPr>
              <w:t>吴赣昌，高职高专数学立体化教材：线性代数（理工类 高职高专版 第二版），中国人民大学出版社，2009年5月。</w:t>
            </w:r>
          </w:p>
          <w:p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2.吴赣昌，大学数学多媒体教学系统：线性代数（理工类），中国人民大学出版社，中国人民大学音像出版社，2011年6月。</w:t>
            </w: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3.同济大学应用数学系，线性代数（第四版），高等教育出版社，2019年7月。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4.章栋恩，许晓革，高等数学实验，高等教育出版社，2018年7月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教学建议</w:t>
            </w:r>
          </w:p>
        </w:tc>
        <w:tc>
          <w:tcPr>
            <w:tcW w:w="904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ind w:firstLine="440" w:firstLineChars="200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（1）</w:t>
            </w:r>
            <w:r>
              <w:rPr>
                <w:rFonts w:hint="eastAsia" w:ascii="宋体" w:hAnsi="宋体"/>
                <w:sz w:val="22"/>
                <w:szCs w:val="24"/>
              </w:rPr>
              <w:t>师资队伍建议：主讲教师负责课程主要教学任务，并承担学生自我学习指导，实训指导教师协助主讲教师，共同完成实训教学任务；</w:t>
            </w:r>
          </w:p>
          <w:p>
            <w:pPr>
              <w:spacing w:line="300" w:lineRule="auto"/>
              <w:ind w:firstLine="440" w:firstLineChars="200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（2）本课程约有三分之一内容要进行实践，因此建议把理论部分安排在多媒体课室、线上混合开展教学，同时要求学生课后自觉完成实验项目；</w:t>
            </w:r>
          </w:p>
          <w:p>
            <w:pPr>
              <w:spacing w:line="300" w:lineRule="auto"/>
              <w:ind w:firstLine="440" w:firstLineChars="200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（3）建议增加课程及实训指导老师。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（4）教学效果评价方案建议：以“保障学生实际工作能力培养”为指针，以有利于“学生</w:t>
            </w:r>
          </w:p>
          <w:p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主动性和创造力的开发利用、有利于实施“教学全过程动态质量管理”、有利于提高课程实施的“费效比”为原则，利用学院“学生评课60%、督导评课20%、同行评课10%、专家（专业指导委员会）评课10%”制度，对课程教学效果进行评价</w:t>
            </w:r>
          </w:p>
        </w:tc>
      </w:tr>
    </w:tbl>
    <w:p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90701"/>
    <w:multiLevelType w:val="multilevel"/>
    <w:tmpl w:val="33A90701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24"/>
    <w:rsid w:val="00077D22"/>
    <w:rsid w:val="0013560B"/>
    <w:rsid w:val="00232843"/>
    <w:rsid w:val="00254D07"/>
    <w:rsid w:val="003D7D83"/>
    <w:rsid w:val="003E50AB"/>
    <w:rsid w:val="003E65BA"/>
    <w:rsid w:val="004806FC"/>
    <w:rsid w:val="00530FD8"/>
    <w:rsid w:val="0054142F"/>
    <w:rsid w:val="00576FB9"/>
    <w:rsid w:val="006C410D"/>
    <w:rsid w:val="006F71F3"/>
    <w:rsid w:val="00733433"/>
    <w:rsid w:val="007412E2"/>
    <w:rsid w:val="0074616A"/>
    <w:rsid w:val="007E79A5"/>
    <w:rsid w:val="00846C39"/>
    <w:rsid w:val="0088431C"/>
    <w:rsid w:val="00884A18"/>
    <w:rsid w:val="00893024"/>
    <w:rsid w:val="00902B4D"/>
    <w:rsid w:val="00C54E07"/>
    <w:rsid w:val="00CC5BCE"/>
    <w:rsid w:val="00CC6074"/>
    <w:rsid w:val="00D379D7"/>
    <w:rsid w:val="00E02F3E"/>
    <w:rsid w:val="00E157E3"/>
    <w:rsid w:val="00E66848"/>
    <w:rsid w:val="00E676B8"/>
    <w:rsid w:val="00E77621"/>
    <w:rsid w:val="00E960CC"/>
    <w:rsid w:val="00EC0A36"/>
    <w:rsid w:val="00F11AC0"/>
    <w:rsid w:val="00F11E95"/>
    <w:rsid w:val="00F7056A"/>
    <w:rsid w:val="00F7491F"/>
    <w:rsid w:val="00F82332"/>
    <w:rsid w:val="04E54626"/>
    <w:rsid w:val="28676AE8"/>
    <w:rsid w:val="6EFB1EB2"/>
    <w:rsid w:val="7C64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Calibri" w:hAnsi="Calibri" w:cs="宋体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rPr>
      <w:sz w:val="24"/>
    </w:rPr>
  </w:style>
  <w:style w:type="character" w:customStyle="1" w:styleId="9">
    <w:name w:val="标题 2 字符"/>
    <w:basedOn w:val="7"/>
    <w:link w:val="2"/>
    <w:qFormat/>
    <w:uiPriority w:val="0"/>
    <w:rPr>
      <w:rFonts w:ascii="Cambria" w:hAnsi="Cambria" w:eastAsia="宋体" w:cs="宋体"/>
      <w:b/>
      <w:bCs/>
      <w:sz w:val="32"/>
      <w:szCs w:val="32"/>
    </w:rPr>
  </w:style>
  <w:style w:type="character" w:customStyle="1" w:styleId="10">
    <w:name w:val="标题 3 字符"/>
    <w:basedOn w:val="7"/>
    <w:link w:val="3"/>
    <w:semiHidden/>
    <w:qFormat/>
    <w:uiPriority w:val="0"/>
    <w:rPr>
      <w:rFonts w:ascii="Calibri" w:hAnsi="Calibri" w:eastAsia="宋体" w:cs="宋体"/>
      <w:b/>
      <w:bCs/>
      <w:sz w:val="32"/>
      <w:szCs w:val="32"/>
    </w:rPr>
  </w:style>
  <w:style w:type="character" w:customStyle="1" w:styleId="11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782</Words>
  <Characters>4459</Characters>
  <Lines>37</Lines>
  <Paragraphs>10</Paragraphs>
  <ScaleCrop>false</ScaleCrop>
  <LinksUpToDate>false</LinksUpToDate>
  <CharactersWithSpaces>5231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2018-11-02T03:03:00Z</dcterms:created>
  <dc:creator>谭立霞</dc:creator>
  <cp:lastModifiedBy>袁佳</cp:lastModifiedBy>
  <dcterms:modified xsi:type="dcterms:W3CDTF">2020-11-23T00:49:40Z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