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9B15B">
      <w:pPr>
        <w:rPr>
          <w:rFonts w:ascii="宋体" w:hAnsi="宋体" w:eastAsia="宋体" w:cs="宋体"/>
          <w:sz w:val="24"/>
          <w:szCs w:val="20"/>
        </w:rPr>
      </w:pPr>
    </w:p>
    <w:p w14:paraId="7D28256C">
      <w:pPr>
        <w:rPr>
          <w:rFonts w:ascii="宋体" w:hAnsi="宋体" w:eastAsia="宋体" w:cs="宋体"/>
          <w:sz w:val="24"/>
          <w:szCs w:val="20"/>
        </w:rPr>
      </w:pPr>
    </w:p>
    <w:p w14:paraId="54F99832">
      <w:pPr>
        <w:rPr>
          <w:rFonts w:ascii="宋体" w:hAnsi="宋体" w:eastAsia="宋体" w:cs="宋体"/>
          <w:sz w:val="24"/>
          <w:szCs w:val="20"/>
        </w:rPr>
      </w:pPr>
      <w:r>
        <w:rPr>
          <w:rFonts w:ascii="宋体" w:hAnsi="宋体" w:eastAsia="宋体" w:cs="宋体"/>
          <w:sz w:val="24"/>
          <w:szCs w:val="20"/>
        </w:rPr>
        <w:drawing>
          <wp:inline distT="0" distB="0" distL="0" distR="0">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14:paraId="21DA6839">
      <w:pPr>
        <w:rPr>
          <w:rFonts w:ascii="宋体" w:hAnsi="宋体" w:eastAsia="宋体" w:cs="宋体"/>
          <w:sz w:val="24"/>
          <w:szCs w:val="20"/>
        </w:rPr>
      </w:pPr>
    </w:p>
    <w:p w14:paraId="0FAA2690">
      <w:pPr>
        <w:rPr>
          <w:rFonts w:ascii="宋体" w:hAnsi="宋体" w:eastAsia="宋体" w:cs="宋体"/>
          <w:sz w:val="24"/>
          <w:szCs w:val="20"/>
        </w:rPr>
      </w:pPr>
    </w:p>
    <w:p w14:paraId="370C2AC8">
      <w:pPr>
        <w:jc w:val="center"/>
        <w:rPr>
          <w:rFonts w:ascii="宋体" w:hAnsi="宋体" w:eastAsia="宋体" w:cs="宋体"/>
          <w:sz w:val="24"/>
          <w:szCs w:val="20"/>
        </w:rPr>
      </w:pPr>
      <w:r>
        <w:rPr>
          <w:rFonts w:hint="eastAsia" w:ascii="宋体" w:hAnsi="宋体" w:eastAsia="宋体" w:cs="宋体"/>
          <w:sz w:val="48"/>
          <w:szCs w:val="48"/>
        </w:rPr>
        <w:t>应用外语学院</w:t>
      </w:r>
    </w:p>
    <w:p w14:paraId="6B4DE511">
      <w:pPr>
        <w:spacing w:line="480" w:lineRule="auto"/>
        <w:jc w:val="center"/>
        <w:rPr>
          <w:rFonts w:hint="eastAsia" w:ascii="宋体" w:hAnsi="宋体" w:eastAsia="宋体" w:cs="宋体"/>
          <w:sz w:val="48"/>
          <w:szCs w:val="48"/>
          <w:lang w:val="en-US" w:eastAsia="zh-CN"/>
        </w:rPr>
      </w:pPr>
      <w:bookmarkStart w:id="0" w:name="_Toc241725850"/>
      <w:r>
        <w:rPr>
          <w:rFonts w:hint="eastAsia" w:ascii="宋体" w:hAnsi="宋体" w:eastAsia="宋体" w:cs="宋体"/>
          <w:sz w:val="48"/>
          <w:szCs w:val="48"/>
        </w:rPr>
        <w:t>商务英语专业</w:t>
      </w:r>
      <w:bookmarkStart w:id="33" w:name="_GoBack"/>
      <w:bookmarkEnd w:id="33"/>
    </w:p>
    <w:p w14:paraId="37AE8803">
      <w:pPr>
        <w:spacing w:before="156" w:beforeLines="50" w:after="156" w:afterLines="50" w:line="480" w:lineRule="auto"/>
        <w:jc w:val="center"/>
        <w:rPr>
          <w:rFonts w:ascii="宋体" w:hAnsi="宋体" w:eastAsia="宋体" w:cs="宋体"/>
          <w:sz w:val="44"/>
          <w:szCs w:val="44"/>
        </w:rPr>
      </w:pPr>
    </w:p>
    <w:p w14:paraId="63A2B8E6">
      <w:pPr>
        <w:spacing w:line="1200" w:lineRule="auto"/>
        <w:jc w:val="center"/>
        <w:rPr>
          <w:rFonts w:ascii="宋体" w:hAnsi="宋体" w:eastAsia="宋体" w:cs="宋体"/>
          <w:b/>
          <w:spacing w:val="30"/>
          <w:sz w:val="72"/>
          <w:szCs w:val="72"/>
        </w:rPr>
      </w:pPr>
      <w:r>
        <w:rPr>
          <w:rFonts w:hint="eastAsia" w:ascii="宋体" w:hAnsi="宋体" w:eastAsia="宋体" w:cs="宋体"/>
          <w:b/>
          <w:spacing w:val="30"/>
          <w:sz w:val="72"/>
          <w:szCs w:val="72"/>
        </w:rPr>
        <w:t>人才培养方案</w:t>
      </w:r>
    </w:p>
    <w:p w14:paraId="4F5EC9EF">
      <w:pPr>
        <w:spacing w:line="480" w:lineRule="auto"/>
        <w:jc w:val="center"/>
        <w:rPr>
          <w:rFonts w:ascii="宋体" w:hAnsi="宋体" w:eastAsia="宋体" w:cs="宋体"/>
          <w:b/>
          <w:sz w:val="48"/>
          <w:szCs w:val="48"/>
        </w:rPr>
      </w:pPr>
      <w:r>
        <w:rPr>
          <w:rFonts w:hint="eastAsia" w:ascii="宋体" w:hAnsi="宋体" w:eastAsia="宋体" w:cs="宋体"/>
          <w:b/>
          <w:sz w:val="48"/>
          <w:szCs w:val="48"/>
        </w:rPr>
        <w:t>（202</w:t>
      </w:r>
      <w:r>
        <w:rPr>
          <w:rFonts w:hint="eastAsia" w:ascii="宋体" w:hAnsi="宋体" w:eastAsia="宋体" w:cs="宋体"/>
          <w:b/>
          <w:sz w:val="48"/>
          <w:szCs w:val="48"/>
          <w:lang w:val="en-US" w:eastAsia="zh-CN"/>
        </w:rPr>
        <w:t>3</w:t>
      </w:r>
      <w:r>
        <w:rPr>
          <w:rFonts w:hint="eastAsia" w:ascii="宋体" w:hAnsi="宋体" w:eastAsia="宋体" w:cs="宋体"/>
          <w:b/>
          <w:sz w:val="48"/>
          <w:szCs w:val="48"/>
        </w:rPr>
        <w:t>级普通高中）</w:t>
      </w:r>
    </w:p>
    <w:p w14:paraId="0715DCD4">
      <w:pPr>
        <w:spacing w:line="480" w:lineRule="auto"/>
        <w:jc w:val="center"/>
        <w:rPr>
          <w:rFonts w:hint="eastAsia" w:ascii="宋体" w:hAnsi="宋体" w:eastAsia="宋体" w:cs="宋体"/>
          <w:b/>
          <w:sz w:val="48"/>
          <w:szCs w:val="48"/>
          <w:lang w:eastAsia="zh-CN"/>
        </w:rPr>
      </w:pPr>
      <w:r>
        <w:rPr>
          <w:rFonts w:hint="eastAsia" w:ascii="宋体" w:hAnsi="宋体" w:eastAsia="宋体" w:cs="宋体"/>
          <w:b/>
          <w:sz w:val="48"/>
          <w:szCs w:val="48"/>
          <w:lang w:val="en-US" w:eastAsia="zh-CN"/>
        </w:rPr>
        <w:t xml:space="preserve"> </w:t>
      </w:r>
    </w:p>
    <w:p w14:paraId="51148415">
      <w:pPr>
        <w:spacing w:line="480" w:lineRule="auto"/>
        <w:jc w:val="center"/>
        <w:rPr>
          <w:rFonts w:ascii="宋体" w:hAnsi="宋体" w:eastAsia="宋体" w:cs="宋体"/>
          <w:b/>
          <w:sz w:val="48"/>
          <w:szCs w:val="48"/>
        </w:rPr>
      </w:pPr>
    </w:p>
    <w:p w14:paraId="7F859A05">
      <w:pPr>
        <w:spacing w:line="480" w:lineRule="auto"/>
        <w:jc w:val="center"/>
        <w:rPr>
          <w:rFonts w:ascii="宋体" w:hAnsi="宋体" w:eastAsia="宋体" w:cs="宋体"/>
          <w:sz w:val="44"/>
          <w:szCs w:val="44"/>
        </w:rPr>
      </w:pPr>
    </w:p>
    <w:p w14:paraId="63D17C84">
      <w:pPr>
        <w:spacing w:line="480" w:lineRule="auto"/>
        <w:rPr>
          <w:rFonts w:ascii="宋体" w:hAnsi="宋体" w:eastAsia="宋体" w:cs="宋体"/>
          <w:sz w:val="44"/>
          <w:szCs w:val="44"/>
        </w:rPr>
      </w:pPr>
    </w:p>
    <w:p w14:paraId="03490E13">
      <w:pPr>
        <w:spacing w:line="480" w:lineRule="auto"/>
        <w:jc w:val="center"/>
        <w:rPr>
          <w:rFonts w:ascii="宋体" w:hAnsi="宋体" w:eastAsia="宋体" w:cs="宋体"/>
          <w:spacing w:val="40"/>
          <w:sz w:val="32"/>
          <w:szCs w:val="32"/>
        </w:rPr>
      </w:pPr>
      <w:r>
        <w:rPr>
          <w:rFonts w:hint="eastAsia" w:ascii="宋体" w:hAnsi="宋体" w:eastAsia="宋体" w:cs="宋体"/>
          <w:spacing w:val="40"/>
          <w:sz w:val="32"/>
          <w:szCs w:val="32"/>
        </w:rPr>
        <w:t>广东工贸职业技术学院</w:t>
      </w:r>
    </w:p>
    <w:p w14:paraId="18C973D3">
      <w:pPr>
        <w:jc w:val="center"/>
        <w:rPr>
          <w:rFonts w:ascii="宋体" w:hAnsi="宋体" w:eastAsia="宋体" w:cs="宋体"/>
          <w:spacing w:val="40"/>
          <w:sz w:val="32"/>
          <w:szCs w:val="32"/>
        </w:rPr>
      </w:pPr>
      <w:r>
        <w:rPr>
          <w:rFonts w:hint="eastAsia" w:ascii="宋体" w:hAnsi="宋体" w:eastAsia="宋体" w:cs="宋体"/>
          <w:spacing w:val="40"/>
          <w:sz w:val="32"/>
          <w:szCs w:val="32"/>
        </w:rPr>
        <w:t>二○二</w:t>
      </w:r>
      <w:r>
        <w:rPr>
          <w:rFonts w:hint="eastAsia" w:ascii="宋体" w:hAnsi="宋体" w:eastAsia="宋体" w:cs="宋体"/>
          <w:spacing w:val="40"/>
          <w:sz w:val="32"/>
          <w:szCs w:val="32"/>
          <w:lang w:val="en-US" w:eastAsia="zh-CN"/>
        </w:rPr>
        <w:t>三</w:t>
      </w:r>
      <w:r>
        <w:rPr>
          <w:rFonts w:hint="eastAsia" w:ascii="宋体" w:hAnsi="宋体" w:eastAsia="宋体" w:cs="宋体"/>
          <w:spacing w:val="40"/>
          <w:sz w:val="32"/>
          <w:szCs w:val="32"/>
        </w:rPr>
        <w:t>年</w:t>
      </w:r>
      <w:r>
        <w:rPr>
          <w:rFonts w:hint="eastAsia" w:ascii="宋体" w:hAnsi="宋体" w:eastAsia="宋体" w:cs="宋体"/>
          <w:spacing w:val="40"/>
          <w:sz w:val="32"/>
          <w:szCs w:val="32"/>
          <w:lang w:val="en-US" w:eastAsia="zh-CN"/>
        </w:rPr>
        <w:t>三</w:t>
      </w:r>
      <w:r>
        <w:rPr>
          <w:rFonts w:hint="eastAsia" w:ascii="宋体" w:hAnsi="宋体" w:eastAsia="宋体" w:cs="宋体"/>
          <w:spacing w:val="40"/>
          <w:sz w:val="32"/>
          <w:szCs w:val="32"/>
        </w:rPr>
        <w:t>月</w:t>
      </w:r>
    </w:p>
    <w:p w14:paraId="512DAF17">
      <w:pPr>
        <w:jc w:val="center"/>
        <w:rPr>
          <w:rFonts w:ascii="宋体" w:hAnsi="宋体" w:eastAsia="宋体" w:cs="宋体"/>
          <w:spacing w:val="40"/>
          <w:sz w:val="32"/>
          <w:szCs w:val="32"/>
        </w:rPr>
      </w:pPr>
    </w:p>
    <w:p w14:paraId="2AD3E00C">
      <w:pPr>
        <w:widowControl/>
        <w:jc w:val="left"/>
        <w:rPr>
          <w:rFonts w:ascii="黑体" w:hAnsi="黑体" w:eastAsia="黑体" w:cs="宋体"/>
          <w:kern w:val="0"/>
          <w:sz w:val="30"/>
          <w:szCs w:val="30"/>
        </w:rPr>
      </w:pPr>
    </w:p>
    <w:p w14:paraId="00E76425">
      <w:pPr>
        <w:widowControl/>
        <w:jc w:val="left"/>
        <w:rPr>
          <w:rFonts w:ascii="黑体" w:hAnsi="黑体" w:eastAsia="黑体" w:cs="宋体"/>
          <w:kern w:val="0"/>
          <w:sz w:val="30"/>
          <w:szCs w:val="30"/>
        </w:rPr>
      </w:pPr>
    </w:p>
    <w:p w14:paraId="583DA5BC">
      <w:pPr>
        <w:widowControl/>
        <w:jc w:val="left"/>
        <w:rPr>
          <w:rFonts w:ascii="黑体" w:hAnsi="黑体" w:eastAsia="黑体" w:cs="宋体"/>
          <w:kern w:val="0"/>
          <w:sz w:val="30"/>
          <w:szCs w:val="30"/>
        </w:rPr>
      </w:pPr>
    </w:p>
    <w:p w14:paraId="7FEC2FB3">
      <w:pPr>
        <w:widowControl/>
        <w:rPr>
          <w:rFonts w:ascii="黑体" w:hAnsi="黑体" w:eastAsia="黑体" w:cs="宋体"/>
          <w:kern w:val="0"/>
          <w:sz w:val="30"/>
          <w:szCs w:val="30"/>
        </w:rPr>
      </w:pPr>
    </w:p>
    <w:p w14:paraId="6183C1BB">
      <w:pPr>
        <w:widowControl/>
        <w:rPr>
          <w:rFonts w:ascii="黑体" w:hAnsi="黑体" w:eastAsia="黑体" w:cs="宋体"/>
          <w:kern w:val="0"/>
          <w:sz w:val="30"/>
          <w:szCs w:val="30"/>
        </w:rPr>
      </w:pPr>
    </w:p>
    <w:p w14:paraId="7349F58C">
      <w:pPr>
        <w:widowControl/>
        <w:jc w:val="center"/>
        <w:rPr>
          <w:rFonts w:hint="eastAsia" w:ascii="黑体" w:hAnsi="黑体" w:eastAsia="黑体" w:cs="宋体"/>
          <w:kern w:val="0"/>
          <w:sz w:val="30"/>
          <w:szCs w:val="30"/>
        </w:rPr>
      </w:pPr>
      <w:r>
        <w:rPr>
          <w:rFonts w:hint="eastAsia" w:ascii="黑体" w:hAnsi="黑体" w:eastAsia="黑体" w:cs="宋体"/>
          <w:kern w:val="0"/>
          <w:sz w:val="30"/>
          <w:szCs w:val="30"/>
        </w:rPr>
        <w:t>编制说明</w:t>
      </w:r>
    </w:p>
    <w:p w14:paraId="0E7B07E1">
      <w:pPr>
        <w:widowControl/>
        <w:jc w:val="center"/>
        <w:rPr>
          <w:rFonts w:hint="eastAsia" w:ascii="黑体" w:hAnsi="黑体" w:eastAsia="黑体" w:cs="宋体"/>
          <w:kern w:val="0"/>
          <w:sz w:val="30"/>
          <w:szCs w:val="30"/>
        </w:rPr>
      </w:pPr>
    </w:p>
    <w:p w14:paraId="4FCB2AC9">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本专业人才培养方案是参照高等职业学校商务英语（国家）专业教学标准，在</w:t>
      </w:r>
      <w:r>
        <w:rPr>
          <w:rFonts w:hint="eastAsia" w:ascii="宋体" w:hAnsi="宋体" w:cs="宋体"/>
          <w:sz w:val="24"/>
          <w:szCs w:val="24"/>
        </w:rPr>
        <w:t>商务英语专业</w:t>
      </w:r>
      <w:r>
        <w:rPr>
          <w:rFonts w:hint="eastAsia" w:cs="宋体" w:asciiTheme="majorEastAsia" w:hAnsiTheme="majorEastAsia" w:eastAsiaTheme="majorEastAsia"/>
          <w:sz w:val="24"/>
          <w:szCs w:val="24"/>
        </w:rPr>
        <w:t>建设委员会的指导下，由专兼职专业带头人共同主持</w:t>
      </w:r>
      <w:r>
        <w:rPr>
          <w:rFonts w:hint="eastAsia" w:cs="宋体" w:asciiTheme="majorEastAsia" w:hAnsiTheme="majorEastAsia" w:eastAsiaTheme="majorEastAsia"/>
          <w:sz w:val="24"/>
          <w:szCs w:val="24"/>
          <w:lang w:val="en-US" w:eastAsia="zh-CN"/>
        </w:rPr>
        <w:t>制订</w:t>
      </w:r>
      <w:r>
        <w:rPr>
          <w:rFonts w:hint="eastAsia" w:cs="宋体" w:asciiTheme="majorEastAsia" w:hAnsiTheme="majorEastAsia" w:eastAsiaTheme="majorEastAsia"/>
          <w:sz w:val="24"/>
          <w:szCs w:val="24"/>
        </w:rPr>
        <w:t>，经专家组论证，学校党委会审定，自202</w:t>
      </w:r>
      <w:r>
        <w:rPr>
          <w:rFonts w:hint="eastAsia" w:cs="宋体" w:asciiTheme="majorEastAsia" w:hAnsiTheme="majorEastAsia" w:eastAsiaTheme="majorEastAsia"/>
          <w:sz w:val="24"/>
          <w:szCs w:val="24"/>
          <w:lang w:val="en-US" w:eastAsia="zh-CN"/>
        </w:rPr>
        <w:t>3</w:t>
      </w:r>
      <w:r>
        <w:rPr>
          <w:rFonts w:hint="eastAsia" w:cs="宋体" w:asciiTheme="majorEastAsia" w:hAnsiTheme="majorEastAsia" w:eastAsiaTheme="majorEastAsia"/>
          <w:sz w:val="24"/>
          <w:szCs w:val="24"/>
        </w:rPr>
        <w:t>级执行。</w:t>
      </w:r>
      <w:r>
        <w:rPr>
          <w:rFonts w:hint="eastAsia" w:cs="宋体" w:asciiTheme="majorEastAsia" w:hAnsiTheme="majorEastAsia" w:eastAsiaTheme="majorEastAsia"/>
          <w:sz w:val="24"/>
          <w:szCs w:val="24"/>
          <w:lang w:val="en-US" w:eastAsia="zh-CN"/>
        </w:rPr>
        <w:t>制订</w:t>
      </w:r>
      <w:r>
        <w:rPr>
          <w:rFonts w:hint="eastAsia" w:cs="宋体" w:asciiTheme="majorEastAsia" w:hAnsiTheme="majorEastAsia" w:eastAsiaTheme="majorEastAsia"/>
          <w:sz w:val="24"/>
          <w:szCs w:val="24"/>
        </w:rPr>
        <w:t>过程中，我们选取了</w:t>
      </w:r>
      <w:r>
        <w:rPr>
          <w:rFonts w:hint="eastAsia"/>
          <w:sz w:val="24"/>
        </w:rPr>
        <w:t>典型的外向型企业和兄弟高职院校</w:t>
      </w:r>
      <w:r>
        <w:rPr>
          <w:rFonts w:hint="eastAsia" w:cs="宋体" w:asciiTheme="majorEastAsia" w:hAnsiTheme="majorEastAsia" w:eastAsiaTheme="majorEastAsia"/>
          <w:sz w:val="24"/>
          <w:szCs w:val="24"/>
        </w:rPr>
        <w:t>为主要调研对象，共走访了</w:t>
      </w:r>
      <w:r>
        <w:rPr>
          <w:rFonts w:hint="eastAsia"/>
          <w:sz w:val="24"/>
        </w:rPr>
        <w:t>广州语修堂教育科技有限公司、深圳头狼电子商务有限公司、广州铁路职业技术学院、长沙民政职业技术学院、湖南铁道职业技术学院</w:t>
      </w:r>
      <w:r>
        <w:rPr>
          <w:rFonts w:hint="eastAsia" w:cs="宋体" w:asciiTheme="majorEastAsia" w:hAnsiTheme="majorEastAsia" w:eastAsiaTheme="majorEastAsia"/>
          <w:sz w:val="24"/>
          <w:szCs w:val="24"/>
        </w:rPr>
        <w:t>等10多家单位，对企业生产管理人员、人力资源部门负责人、企业负责人、外贸业务员等多个不同层次、不同级别岗位人员进行了充分的访谈，对往届毕业生进行了麦克思数据跟踪调查，先后邀请朱家宝等行业专家及企业高管等人参与了本方案的</w:t>
      </w:r>
      <w:r>
        <w:rPr>
          <w:rFonts w:hint="eastAsia" w:cs="宋体" w:asciiTheme="majorEastAsia" w:hAnsiTheme="majorEastAsia" w:eastAsiaTheme="majorEastAsia"/>
          <w:sz w:val="24"/>
          <w:szCs w:val="24"/>
          <w:lang w:val="en-US" w:eastAsia="zh-CN"/>
        </w:rPr>
        <w:t>制订</w:t>
      </w:r>
      <w:r>
        <w:rPr>
          <w:rFonts w:hint="eastAsia" w:cs="宋体" w:asciiTheme="majorEastAsia" w:hAnsiTheme="majorEastAsia" w:eastAsiaTheme="majorEastAsia"/>
          <w:sz w:val="24"/>
          <w:szCs w:val="24"/>
        </w:rPr>
        <w:t>。</w:t>
      </w:r>
    </w:p>
    <w:p w14:paraId="57CC9A88">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该培养方案由九</w:t>
      </w:r>
      <w:r>
        <w:rPr>
          <w:rFonts w:hint="eastAsia" w:cs="宋体" w:asciiTheme="majorEastAsia" w:hAnsiTheme="majorEastAsia" w:eastAsiaTheme="majorEastAsia"/>
          <w:sz w:val="24"/>
          <w:szCs w:val="24"/>
          <w:lang w:val="en-US" w:eastAsia="zh-CN"/>
        </w:rPr>
        <w:t>个</w:t>
      </w:r>
      <w:r>
        <w:rPr>
          <w:rFonts w:hint="eastAsia" w:cs="宋体" w:asciiTheme="majorEastAsia" w:hAnsiTheme="majorEastAsia" w:eastAsiaTheme="majorEastAsia"/>
          <w:sz w:val="24"/>
          <w:szCs w:val="24"/>
        </w:rPr>
        <w:t>部分和四个附件构成。九个部分分别是：第一部分为专业名称及代码；第二部分为入学要求；第三部分为修业年限；第四部分为职业面向；第五部分为培养目标与培养规格；第六部分为课程设置及要求；第七部分为教学进程总体安排；第八部分为实施保障；第九部分为毕业要求。四个附件分别为专业调研报告、课程标准、专家论证意见和专业人才培养方案实施审批表。</w:t>
      </w:r>
    </w:p>
    <w:p w14:paraId="44954031">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参加本方案</w:t>
      </w:r>
      <w:r>
        <w:rPr>
          <w:rFonts w:hint="eastAsia" w:cs="宋体" w:asciiTheme="majorEastAsia" w:hAnsiTheme="majorEastAsia" w:eastAsiaTheme="majorEastAsia"/>
          <w:sz w:val="24"/>
          <w:szCs w:val="24"/>
          <w:lang w:val="en-US" w:eastAsia="zh-CN"/>
        </w:rPr>
        <w:t>制订</w:t>
      </w:r>
      <w:r>
        <w:rPr>
          <w:rFonts w:hint="eastAsia" w:cs="宋体" w:asciiTheme="majorEastAsia" w:hAnsiTheme="majorEastAsia" w:eastAsiaTheme="majorEastAsia"/>
          <w:sz w:val="24"/>
          <w:szCs w:val="24"/>
        </w:rPr>
        <w:t>的人员主要有：</w:t>
      </w:r>
      <w:r>
        <w:rPr>
          <w:rFonts w:cs="宋体" w:asciiTheme="majorEastAsia" w:hAnsiTheme="majorEastAsia" w:eastAsiaTheme="majorEastAsia"/>
          <w:sz w:val="24"/>
          <w:szCs w:val="24"/>
        </w:rPr>
        <w:t xml:space="preserve"> </w:t>
      </w:r>
    </w:p>
    <w:p w14:paraId="2E170B67">
      <w:pPr>
        <w:adjustRightInd w:val="0"/>
        <w:snapToGrid w:val="0"/>
        <w:spacing w:line="360" w:lineRule="auto"/>
        <w:ind w:firstLine="482" w:firstLineChars="200"/>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专业带头人：</w:t>
      </w:r>
    </w:p>
    <w:p w14:paraId="7FD4518D">
      <w:pPr>
        <w:numPr>
          <w:ilvl w:val="0"/>
          <w:numId w:val="1"/>
        </w:num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校内专业带头人：彭枚芳（应用外语学院商务英语教研室）</w:t>
      </w:r>
    </w:p>
    <w:p w14:paraId="75CB1218">
      <w:pPr>
        <w:numPr>
          <w:ilvl w:val="0"/>
          <w:numId w:val="1"/>
        </w:numPr>
        <w:adjustRightInd w:val="0"/>
        <w:snapToGrid w:val="0"/>
        <w:spacing w:line="360" w:lineRule="auto"/>
        <w:ind w:left="0" w:leftChars="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校外专业带头人：朱加宝（深圳头狼电子商务有限公司CEO</w:t>
      </w:r>
      <w:r>
        <w:rPr>
          <w:rFonts w:cs="宋体" w:asciiTheme="majorEastAsia" w:hAnsiTheme="majorEastAsia" w:eastAsiaTheme="majorEastAsia"/>
          <w:sz w:val="24"/>
          <w:szCs w:val="24"/>
        </w:rPr>
        <w:t>）</w:t>
      </w:r>
    </w:p>
    <w:p w14:paraId="397022B7">
      <w:pPr>
        <w:adjustRightInd w:val="0"/>
        <w:snapToGrid w:val="0"/>
        <w:spacing w:line="360" w:lineRule="auto"/>
        <w:ind w:firstLine="482" w:firstLineChars="200"/>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编制参与人：</w:t>
      </w:r>
    </w:p>
    <w:p w14:paraId="7826EF66">
      <w:pPr>
        <w:numPr>
          <w:ilvl w:val="0"/>
          <w:numId w:val="2"/>
        </w:numPr>
        <w:adjustRightInd w:val="0"/>
        <w:snapToGrid w:val="0"/>
        <w:spacing w:line="360" w:lineRule="auto"/>
        <w:ind w:left="1919" w:leftChars="228" w:hanging="1440" w:hangingChars="6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学校参与人：肖铁蕾、陈锦英、卫婷婷、朱定逸、傅滨、尹姣、华丹茜、钟怡、陈亚东、付慧平、钟文、曾岸华、龚轶敏、周恂、叶夏、李泽婉、苏俊懿</w:t>
      </w:r>
      <w:r>
        <w:rPr>
          <w:rFonts w:hint="eastAsia"/>
          <w:sz w:val="24"/>
        </w:rPr>
        <w:t>等</w:t>
      </w:r>
    </w:p>
    <w:p w14:paraId="74664260">
      <w:pPr>
        <w:numPr>
          <w:ilvl w:val="0"/>
          <w:numId w:val="2"/>
        </w:numPr>
        <w:spacing w:line="360" w:lineRule="auto"/>
        <w:ind w:left="1919" w:leftChars="228" w:hanging="1440" w:hangingChars="600"/>
        <w:rPr>
          <w:sz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企业参与人：邱仙来、</w:t>
      </w:r>
      <w:r>
        <w:rPr>
          <w:rFonts w:hint="eastAsia"/>
          <w:sz w:val="24"/>
        </w:rPr>
        <w:t>黄兴朋、刘伟立、林晓波、刘志勇、刘嘉定、刘众、陆晓敏、</w:t>
      </w:r>
    </w:p>
    <w:p w14:paraId="5C4E3E38">
      <w:pPr>
        <w:spacing w:line="360" w:lineRule="auto"/>
        <w:ind w:firstLine="1920" w:firstLineChars="800"/>
        <w:rPr>
          <w:sz w:val="24"/>
        </w:rPr>
      </w:pPr>
      <w:r>
        <w:rPr>
          <w:rFonts w:hint="eastAsia"/>
          <w:sz w:val="24"/>
        </w:rPr>
        <w:t>廖清锷、江邈龙、李文斌、张璐、刘清华等</w:t>
      </w:r>
    </w:p>
    <w:p w14:paraId="0FBD39A4">
      <w:pPr>
        <w:spacing w:line="360" w:lineRule="auto"/>
        <w:ind w:firstLine="6960" w:firstLineChars="2900"/>
        <w:rPr>
          <w:rFonts w:ascii="宋体" w:hAnsi="宋体" w:eastAsia="宋体" w:cs="宋体"/>
          <w:sz w:val="24"/>
          <w:szCs w:val="24"/>
        </w:rPr>
      </w:pPr>
      <w:r>
        <w:rPr>
          <w:rFonts w:hint="eastAsia" w:ascii="宋体" w:hAnsi="宋体" w:eastAsia="宋体" w:cs="宋体"/>
          <w:sz w:val="24"/>
          <w:szCs w:val="24"/>
        </w:rPr>
        <w:t xml:space="preserve">应用外语学院 </w:t>
      </w:r>
    </w:p>
    <w:p w14:paraId="707A745D">
      <w:pPr>
        <w:spacing w:line="360" w:lineRule="auto"/>
        <w:ind w:firstLine="6000" w:firstLineChars="25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深圳头狼教育科技有限公司</w:t>
      </w:r>
    </w:p>
    <w:p w14:paraId="19553A08">
      <w:pPr>
        <w:spacing w:line="360" w:lineRule="auto"/>
        <w:ind w:firstLine="6000" w:firstLineChars="25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北京外研在线有限公司等</w:t>
      </w:r>
    </w:p>
    <w:p w14:paraId="546D2579">
      <w:pPr>
        <w:spacing w:line="360" w:lineRule="auto"/>
        <w:ind w:right="120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ascii="宋体" w:hAnsi="宋体" w:eastAsia="宋体" w:cs="宋体"/>
          <w:sz w:val="24"/>
          <w:szCs w:val="24"/>
        </w:rPr>
        <w:br w:type="page"/>
      </w:r>
    </w:p>
    <w:sdt>
      <w:sdtPr>
        <w:rPr>
          <w:rFonts w:asciiTheme="minorHAnsi" w:hAnsiTheme="minorHAnsi" w:eastAsiaTheme="minorEastAsia" w:cstheme="minorBidi"/>
          <w:b w:val="0"/>
          <w:bCs w:val="0"/>
          <w:color w:val="auto"/>
          <w:kern w:val="2"/>
          <w:sz w:val="21"/>
          <w:szCs w:val="22"/>
          <w:lang w:val="zh-CN"/>
        </w:rPr>
        <w:id w:val="-53326147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331013EB">
          <w:pPr>
            <w:pStyle w:val="26"/>
            <w:jc w:val="center"/>
            <w:rPr>
              <w:color w:val="auto"/>
            </w:rPr>
          </w:pPr>
          <w:r>
            <w:rPr>
              <w:color w:val="auto"/>
              <w:lang w:val="zh-CN"/>
            </w:rPr>
            <w:t>目录</w:t>
          </w:r>
        </w:p>
        <w:p w14:paraId="1873F616">
          <w:pPr>
            <w:pStyle w:val="12"/>
            <w:tabs>
              <w:tab w:val="right" w:leader="dot" w:pos="9436"/>
            </w:tabs>
            <w:rPr>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"_Toc22141885" </w:instrText>
          </w:r>
          <w:r>
            <w:rPr>
              <w:highlight w:val="none"/>
            </w:rPr>
            <w:fldChar w:fldCharType="separate"/>
          </w:r>
          <w:r>
            <w:rPr>
              <w:rStyle w:val="20"/>
              <w:rFonts w:hint="eastAsia"/>
              <w:color w:val="auto"/>
              <w:highlight w:val="none"/>
            </w:rPr>
            <w:t>一、专业名称及代码</w:t>
          </w:r>
          <w:r>
            <w:rPr>
              <w:highlight w:val="none"/>
            </w:rPr>
            <w:tab/>
          </w:r>
          <w:r>
            <w:rPr>
              <w:highlight w:val="none"/>
            </w:rPr>
            <w:fldChar w:fldCharType="begin"/>
          </w:r>
          <w:r>
            <w:rPr>
              <w:highlight w:val="none"/>
            </w:rPr>
            <w:instrText xml:space="preserve"> PAGEREF _Toc22141885 \h </w:instrText>
          </w:r>
          <w:r>
            <w:rPr>
              <w:highlight w:val="none"/>
            </w:rPr>
            <w:fldChar w:fldCharType="separate"/>
          </w:r>
          <w:r>
            <w:rPr>
              <w:highlight w:val="none"/>
            </w:rPr>
            <w:t>4</w:t>
          </w:r>
          <w:r>
            <w:rPr>
              <w:highlight w:val="none"/>
            </w:rPr>
            <w:fldChar w:fldCharType="end"/>
          </w:r>
          <w:r>
            <w:rPr>
              <w:highlight w:val="none"/>
            </w:rPr>
            <w:fldChar w:fldCharType="end"/>
          </w:r>
        </w:p>
        <w:p w14:paraId="0484C1AE">
          <w:pPr>
            <w:pStyle w:val="12"/>
            <w:tabs>
              <w:tab w:val="right" w:leader="dot" w:pos="9436"/>
            </w:tabs>
            <w:rPr>
              <w:highlight w:val="none"/>
            </w:rPr>
          </w:pPr>
          <w:r>
            <w:rPr>
              <w:highlight w:val="none"/>
            </w:rPr>
            <w:fldChar w:fldCharType="begin"/>
          </w:r>
          <w:r>
            <w:rPr>
              <w:highlight w:val="none"/>
            </w:rPr>
            <w:instrText xml:space="preserve"> HYPERLINK \l "_Toc22141892" </w:instrText>
          </w:r>
          <w:r>
            <w:rPr>
              <w:highlight w:val="none"/>
            </w:rPr>
            <w:fldChar w:fldCharType="separate"/>
          </w:r>
          <w:r>
            <w:rPr>
              <w:rStyle w:val="20"/>
              <w:rFonts w:hint="eastAsia"/>
              <w:color w:val="auto"/>
              <w:highlight w:val="none"/>
            </w:rPr>
            <w:t>二、入学要求</w:t>
          </w:r>
          <w:r>
            <w:rPr>
              <w:highlight w:val="none"/>
            </w:rPr>
            <w:tab/>
          </w:r>
          <w:r>
            <w:rPr>
              <w:highlight w:val="none"/>
            </w:rPr>
            <w:fldChar w:fldCharType="begin"/>
          </w:r>
          <w:r>
            <w:rPr>
              <w:highlight w:val="none"/>
            </w:rPr>
            <w:instrText xml:space="preserve"> PAGEREF _Toc22141892 \h </w:instrText>
          </w:r>
          <w:r>
            <w:rPr>
              <w:highlight w:val="none"/>
            </w:rPr>
            <w:fldChar w:fldCharType="separate"/>
          </w:r>
          <w:r>
            <w:rPr>
              <w:highlight w:val="none"/>
            </w:rPr>
            <w:t>4</w:t>
          </w:r>
          <w:r>
            <w:rPr>
              <w:highlight w:val="none"/>
            </w:rPr>
            <w:fldChar w:fldCharType="end"/>
          </w:r>
          <w:r>
            <w:rPr>
              <w:highlight w:val="none"/>
            </w:rPr>
            <w:fldChar w:fldCharType="end"/>
          </w:r>
        </w:p>
        <w:p w14:paraId="2400546C">
          <w:pPr>
            <w:pStyle w:val="12"/>
            <w:tabs>
              <w:tab w:val="right" w:leader="dot" w:pos="9436"/>
            </w:tabs>
            <w:rPr>
              <w:highlight w:val="none"/>
            </w:rPr>
          </w:pPr>
          <w:r>
            <w:rPr>
              <w:highlight w:val="none"/>
            </w:rPr>
            <w:fldChar w:fldCharType="begin"/>
          </w:r>
          <w:r>
            <w:rPr>
              <w:highlight w:val="none"/>
            </w:rPr>
            <w:instrText xml:space="preserve"> HYPERLINK \l "_Toc22141895" </w:instrText>
          </w:r>
          <w:r>
            <w:rPr>
              <w:highlight w:val="none"/>
            </w:rPr>
            <w:fldChar w:fldCharType="separate"/>
          </w:r>
          <w:r>
            <w:rPr>
              <w:rStyle w:val="20"/>
              <w:rFonts w:hint="eastAsia"/>
              <w:color w:val="auto"/>
              <w:highlight w:val="none"/>
            </w:rPr>
            <w:t>三、修业年限</w:t>
          </w:r>
          <w:r>
            <w:rPr>
              <w:highlight w:val="none"/>
            </w:rPr>
            <w:tab/>
          </w:r>
          <w:r>
            <w:rPr>
              <w:rFonts w:hint="eastAsia"/>
              <w:highlight w:val="none"/>
              <w:lang w:val="en-US" w:eastAsia="zh-CN"/>
            </w:rPr>
            <w:t>4</w:t>
          </w:r>
          <w:r>
            <w:rPr>
              <w:highlight w:val="none"/>
            </w:rPr>
            <w:fldChar w:fldCharType="end"/>
          </w:r>
        </w:p>
        <w:p w14:paraId="16715405">
          <w:pPr>
            <w:pStyle w:val="12"/>
            <w:tabs>
              <w:tab w:val="right" w:leader="dot" w:pos="9436"/>
            </w:tabs>
            <w:rPr>
              <w:highlight w:val="none"/>
            </w:rPr>
          </w:pPr>
          <w:r>
            <w:rPr>
              <w:highlight w:val="none"/>
            </w:rPr>
            <w:fldChar w:fldCharType="begin"/>
          </w:r>
          <w:r>
            <w:rPr>
              <w:highlight w:val="none"/>
            </w:rPr>
            <w:instrText xml:space="preserve"> HYPERLINK \l "_Toc22141898" </w:instrText>
          </w:r>
          <w:r>
            <w:rPr>
              <w:highlight w:val="none"/>
            </w:rPr>
            <w:fldChar w:fldCharType="separate"/>
          </w:r>
          <w:r>
            <w:rPr>
              <w:rStyle w:val="20"/>
              <w:rFonts w:hint="eastAsia"/>
              <w:color w:val="auto"/>
              <w:highlight w:val="none"/>
            </w:rPr>
            <w:t>四、职业面向</w:t>
          </w:r>
          <w:r>
            <w:rPr>
              <w:highlight w:val="none"/>
            </w:rPr>
            <w:tab/>
          </w:r>
          <w:r>
            <w:rPr>
              <w:rFonts w:hint="eastAsia"/>
              <w:highlight w:val="none"/>
              <w:lang w:val="en-US" w:eastAsia="zh-CN"/>
            </w:rPr>
            <w:t>4</w:t>
          </w:r>
          <w:r>
            <w:rPr>
              <w:highlight w:val="none"/>
            </w:rPr>
            <w:fldChar w:fldCharType="end"/>
          </w:r>
        </w:p>
        <w:p w14:paraId="4F4729D9">
          <w:pPr>
            <w:pStyle w:val="12"/>
            <w:tabs>
              <w:tab w:val="right" w:leader="dot" w:pos="9436"/>
            </w:tabs>
            <w:rPr>
              <w:highlight w:val="none"/>
            </w:rPr>
          </w:pPr>
          <w:r>
            <w:rPr>
              <w:highlight w:val="none"/>
            </w:rPr>
            <w:fldChar w:fldCharType="begin"/>
          </w:r>
          <w:r>
            <w:rPr>
              <w:highlight w:val="none"/>
            </w:rPr>
            <w:instrText xml:space="preserve"> HYPERLINK \l "_Toc22141898" </w:instrText>
          </w:r>
          <w:r>
            <w:rPr>
              <w:highlight w:val="none"/>
            </w:rPr>
            <w:fldChar w:fldCharType="separate"/>
          </w:r>
          <w:r>
            <w:rPr>
              <w:rStyle w:val="20"/>
              <w:rFonts w:hint="eastAsia"/>
              <w:color w:val="auto"/>
              <w:highlight w:val="none"/>
            </w:rPr>
            <w:t>五、培养目标与培养规格</w:t>
          </w:r>
          <w:r>
            <w:rPr>
              <w:highlight w:val="none"/>
            </w:rPr>
            <w:tab/>
          </w:r>
          <w:r>
            <w:rPr>
              <w:rFonts w:hint="eastAsia"/>
              <w:highlight w:val="none"/>
              <w:lang w:val="en-US" w:eastAsia="zh-CN"/>
            </w:rPr>
            <w:t>5</w:t>
          </w:r>
          <w:r>
            <w:rPr>
              <w:highlight w:val="none"/>
            </w:rPr>
            <w:fldChar w:fldCharType="end"/>
          </w:r>
        </w:p>
        <w:p w14:paraId="1B1478E7">
          <w:pPr>
            <w:pStyle w:val="13"/>
            <w:tabs>
              <w:tab w:val="right" w:leader="dot" w:pos="9436"/>
            </w:tabs>
            <w:rPr>
              <w:highlight w:val="none"/>
            </w:rPr>
          </w:pPr>
          <w:r>
            <w:rPr>
              <w:highlight w:val="none"/>
            </w:rPr>
            <w:fldChar w:fldCharType="begin"/>
          </w:r>
          <w:r>
            <w:rPr>
              <w:highlight w:val="none"/>
            </w:rPr>
            <w:instrText xml:space="preserve"> HYPERLINK \l "_Toc22141899" </w:instrText>
          </w:r>
          <w:r>
            <w:rPr>
              <w:highlight w:val="none"/>
            </w:rPr>
            <w:fldChar w:fldCharType="separate"/>
          </w:r>
          <w:r>
            <w:rPr>
              <w:rStyle w:val="20"/>
              <w:rFonts w:hint="eastAsia"/>
              <w:color w:val="auto"/>
              <w:highlight w:val="none"/>
            </w:rPr>
            <w:t>（一）培养目标</w:t>
          </w:r>
          <w:r>
            <w:rPr>
              <w:highlight w:val="none"/>
            </w:rPr>
            <w:tab/>
          </w:r>
          <w:r>
            <w:rPr>
              <w:rFonts w:hint="eastAsia"/>
              <w:highlight w:val="none"/>
              <w:lang w:val="en-US" w:eastAsia="zh-CN"/>
            </w:rPr>
            <w:t>5</w:t>
          </w:r>
          <w:r>
            <w:rPr>
              <w:highlight w:val="none"/>
            </w:rPr>
            <w:fldChar w:fldCharType="end"/>
          </w:r>
        </w:p>
        <w:p w14:paraId="513EECF1">
          <w:pPr>
            <w:pStyle w:val="13"/>
            <w:tabs>
              <w:tab w:val="right" w:leader="dot" w:pos="9436"/>
            </w:tabs>
            <w:rPr>
              <w:highlight w:val="none"/>
            </w:rPr>
          </w:pPr>
          <w:r>
            <w:rPr>
              <w:highlight w:val="none"/>
            </w:rPr>
            <w:fldChar w:fldCharType="begin"/>
          </w:r>
          <w:r>
            <w:rPr>
              <w:highlight w:val="none"/>
            </w:rPr>
            <w:instrText xml:space="preserve"> HYPERLINK \l "_Toc22141900" </w:instrText>
          </w:r>
          <w:r>
            <w:rPr>
              <w:highlight w:val="none"/>
            </w:rPr>
            <w:fldChar w:fldCharType="separate"/>
          </w:r>
          <w:r>
            <w:rPr>
              <w:rStyle w:val="20"/>
              <w:color w:val="auto"/>
              <w:highlight w:val="none"/>
            </w:rPr>
            <w:t>（</w:t>
          </w:r>
          <w:r>
            <w:rPr>
              <w:rStyle w:val="20"/>
              <w:rFonts w:hint="eastAsia"/>
              <w:color w:val="auto"/>
              <w:highlight w:val="none"/>
            </w:rPr>
            <w:t>二</w:t>
          </w:r>
          <w:r>
            <w:rPr>
              <w:rStyle w:val="20"/>
              <w:color w:val="auto"/>
              <w:highlight w:val="none"/>
            </w:rPr>
            <w:t>）</w:t>
          </w:r>
          <w:r>
            <w:rPr>
              <w:rStyle w:val="20"/>
              <w:rFonts w:hint="eastAsia"/>
              <w:color w:val="auto"/>
              <w:highlight w:val="none"/>
            </w:rPr>
            <w:t>培养规格</w:t>
          </w:r>
          <w:r>
            <w:rPr>
              <w:highlight w:val="none"/>
            </w:rPr>
            <w:tab/>
          </w:r>
          <w:r>
            <w:rPr>
              <w:rFonts w:hint="eastAsia"/>
              <w:highlight w:val="none"/>
              <w:lang w:val="en-US" w:eastAsia="zh-CN"/>
            </w:rPr>
            <w:t>5</w:t>
          </w:r>
          <w:r>
            <w:rPr>
              <w:highlight w:val="none"/>
            </w:rPr>
            <w:fldChar w:fldCharType="end"/>
          </w:r>
        </w:p>
        <w:p w14:paraId="0610CC2A">
          <w:pPr>
            <w:pStyle w:val="12"/>
            <w:tabs>
              <w:tab w:val="right" w:leader="dot" w:pos="9436"/>
            </w:tabs>
            <w:rPr>
              <w:highlight w:val="none"/>
            </w:rPr>
          </w:pPr>
          <w:r>
            <w:rPr>
              <w:highlight w:val="none"/>
            </w:rPr>
            <w:fldChar w:fldCharType="begin"/>
          </w:r>
          <w:r>
            <w:rPr>
              <w:highlight w:val="none"/>
            </w:rPr>
            <w:instrText xml:space="preserve"> HYPERLINK \l "_Toc22141906" </w:instrText>
          </w:r>
          <w:r>
            <w:rPr>
              <w:highlight w:val="none"/>
            </w:rPr>
            <w:fldChar w:fldCharType="separate"/>
          </w:r>
          <w:r>
            <w:rPr>
              <w:rStyle w:val="20"/>
              <w:rFonts w:hint="eastAsia"/>
              <w:color w:val="auto"/>
              <w:highlight w:val="none"/>
            </w:rPr>
            <w:t>六、课程设置及要求</w:t>
          </w:r>
          <w:r>
            <w:rPr>
              <w:highlight w:val="none"/>
            </w:rPr>
            <w:tab/>
          </w:r>
          <w:r>
            <w:rPr>
              <w:rFonts w:hint="eastAsia"/>
              <w:highlight w:val="none"/>
              <w:lang w:val="en-US" w:eastAsia="zh-CN"/>
            </w:rPr>
            <w:t>6</w:t>
          </w:r>
          <w:r>
            <w:rPr>
              <w:highlight w:val="none"/>
            </w:rPr>
            <w:fldChar w:fldCharType="end"/>
          </w:r>
        </w:p>
        <w:p w14:paraId="66A5D171">
          <w:pPr>
            <w:pStyle w:val="13"/>
            <w:tabs>
              <w:tab w:val="right" w:leader="dot" w:pos="9436"/>
            </w:tabs>
            <w:rPr>
              <w:highlight w:val="none"/>
            </w:rPr>
          </w:pPr>
          <w:r>
            <w:rPr>
              <w:highlight w:val="none"/>
            </w:rPr>
            <w:fldChar w:fldCharType="begin"/>
          </w:r>
          <w:r>
            <w:rPr>
              <w:highlight w:val="none"/>
            </w:rPr>
            <w:instrText xml:space="preserve"> HYPERLINK \l "_Toc22141907" </w:instrText>
          </w:r>
          <w:r>
            <w:rPr>
              <w:highlight w:val="none"/>
            </w:rPr>
            <w:fldChar w:fldCharType="separate"/>
          </w:r>
          <w:r>
            <w:rPr>
              <w:highlight w:val="none"/>
            </w:rPr>
            <w:fldChar w:fldCharType="begin"/>
          </w:r>
          <w:r>
            <w:rPr>
              <w:highlight w:val="none"/>
            </w:rPr>
            <w:instrText xml:space="preserve"> HYPERLINK \l "_Toc22141899" </w:instrText>
          </w:r>
          <w:r>
            <w:rPr>
              <w:highlight w:val="none"/>
            </w:rPr>
            <w:fldChar w:fldCharType="separate"/>
          </w:r>
          <w:r>
            <w:rPr>
              <w:rStyle w:val="20"/>
              <w:rFonts w:hint="eastAsia"/>
              <w:color w:val="auto"/>
              <w:highlight w:val="none"/>
              <w:u w:val="none"/>
            </w:rPr>
            <w:t>（一）公共基础课程</w:t>
          </w:r>
          <w:r>
            <w:rPr>
              <w:highlight w:val="none"/>
            </w:rPr>
            <w:tab/>
          </w:r>
          <w:r>
            <w:rPr>
              <w:rFonts w:hint="eastAsia"/>
              <w:highlight w:val="none"/>
              <w:lang w:val="en-US" w:eastAsia="zh-CN"/>
            </w:rPr>
            <w:t>6</w:t>
          </w:r>
          <w:r>
            <w:rPr>
              <w:highlight w:val="none"/>
            </w:rPr>
            <w:fldChar w:fldCharType="end"/>
          </w:r>
        </w:p>
        <w:p w14:paraId="0EB2DE5D">
          <w:pPr>
            <w:pStyle w:val="13"/>
            <w:tabs>
              <w:tab w:val="right" w:leader="dot" w:pos="9436"/>
            </w:tabs>
            <w:rPr>
              <w:highlight w:val="none"/>
            </w:rPr>
          </w:pPr>
          <w:r>
            <w:rPr>
              <w:highlight w:val="none"/>
            </w:rPr>
            <w:fldChar w:fldCharType="begin"/>
          </w:r>
          <w:r>
            <w:rPr>
              <w:highlight w:val="none"/>
            </w:rPr>
            <w:instrText xml:space="preserve"> HYPERLINK \l "_Toc22141900" </w:instrText>
          </w:r>
          <w:r>
            <w:rPr>
              <w:highlight w:val="none"/>
            </w:rPr>
            <w:fldChar w:fldCharType="separate"/>
          </w:r>
          <w:r>
            <w:rPr>
              <w:rStyle w:val="20"/>
              <w:color w:val="auto"/>
              <w:highlight w:val="none"/>
              <w:u w:val="none"/>
            </w:rPr>
            <w:t>（</w:t>
          </w:r>
          <w:r>
            <w:rPr>
              <w:rStyle w:val="20"/>
              <w:rFonts w:hint="eastAsia"/>
              <w:color w:val="auto"/>
              <w:highlight w:val="none"/>
              <w:u w:val="none"/>
            </w:rPr>
            <w:t>二</w:t>
          </w:r>
          <w:r>
            <w:rPr>
              <w:rStyle w:val="20"/>
              <w:color w:val="auto"/>
              <w:highlight w:val="none"/>
              <w:u w:val="none"/>
            </w:rPr>
            <w:t>）</w:t>
          </w:r>
          <w:r>
            <w:rPr>
              <w:rStyle w:val="20"/>
              <w:rFonts w:hint="eastAsia"/>
              <w:color w:val="auto"/>
              <w:highlight w:val="none"/>
              <w:u w:val="none"/>
            </w:rPr>
            <w:t>专业（技能）课程</w:t>
          </w:r>
          <w:r>
            <w:rPr>
              <w:highlight w:val="none"/>
            </w:rPr>
            <w:tab/>
          </w:r>
          <w:r>
            <w:rPr>
              <w:highlight w:val="none"/>
            </w:rPr>
            <w:fldChar w:fldCharType="begin"/>
          </w:r>
          <w:r>
            <w:rPr>
              <w:highlight w:val="none"/>
            </w:rPr>
            <w:instrText xml:space="preserve"> PAGEREF _Toc22141900 \h </w:instrText>
          </w:r>
          <w:r>
            <w:rPr>
              <w:highlight w:val="none"/>
            </w:rPr>
            <w:fldChar w:fldCharType="separate"/>
          </w:r>
          <w:r>
            <w:rPr>
              <w:highlight w:val="none"/>
            </w:rPr>
            <w:t>1</w:t>
          </w:r>
          <w:r>
            <w:rPr>
              <w:rFonts w:hint="eastAsia"/>
              <w:highlight w:val="none"/>
              <w:lang w:val="en-US" w:eastAsia="zh-CN"/>
            </w:rPr>
            <w:t>1</w:t>
          </w:r>
          <w:r>
            <w:rPr>
              <w:highlight w:val="none"/>
            </w:rPr>
            <w:fldChar w:fldCharType="end"/>
          </w:r>
          <w:r>
            <w:rPr>
              <w:highlight w:val="none"/>
            </w:rPr>
            <w:fldChar w:fldCharType="end"/>
          </w:r>
        </w:p>
        <w:p w14:paraId="086D0487">
          <w:pPr>
            <w:pStyle w:val="13"/>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"_Toc22141900" </w:instrText>
          </w:r>
          <w:r>
            <w:rPr>
              <w:highlight w:val="none"/>
            </w:rPr>
            <w:fldChar w:fldCharType="separate"/>
          </w:r>
          <w:r>
            <w:rPr>
              <w:rStyle w:val="20"/>
              <w:color w:val="auto"/>
              <w:highlight w:val="none"/>
              <w:u w:val="none"/>
            </w:rPr>
            <w:t>（</w:t>
          </w:r>
          <w:r>
            <w:rPr>
              <w:rStyle w:val="20"/>
              <w:rFonts w:hint="eastAsia"/>
              <w:color w:val="auto"/>
              <w:highlight w:val="none"/>
              <w:u w:val="none"/>
            </w:rPr>
            <w:t>三</w:t>
          </w:r>
          <w:r>
            <w:rPr>
              <w:rStyle w:val="20"/>
              <w:color w:val="auto"/>
              <w:highlight w:val="none"/>
              <w:u w:val="none"/>
            </w:rPr>
            <w:t>）</w:t>
          </w:r>
          <w:r>
            <w:rPr>
              <w:rStyle w:val="20"/>
              <w:rFonts w:hint="eastAsia"/>
              <w:color w:val="auto"/>
              <w:highlight w:val="none"/>
              <w:u w:val="none"/>
            </w:rPr>
            <w:t>各类课程学时学分比例表</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3</w:t>
          </w:r>
        </w:p>
        <w:p w14:paraId="29F338E9">
          <w:pPr>
            <w:pStyle w:val="12"/>
            <w:tabs>
              <w:tab w:val="right" w:leader="dot" w:pos="9436"/>
            </w:tabs>
            <w:rPr>
              <w:rFonts w:hint="eastAsia" w:eastAsiaTheme="minorEastAsia"/>
              <w:highlight w:val="none"/>
              <w:lang w:val="en-US" w:eastAsia="zh-CN"/>
            </w:rPr>
          </w:pPr>
          <w:r>
            <w:rPr>
              <w:rStyle w:val="20"/>
              <w:rFonts w:hint="eastAsia"/>
              <w:color w:val="auto"/>
              <w:highlight w:val="none"/>
            </w:rPr>
            <w:t>七、教学进程总体安排</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4</w:t>
          </w:r>
        </w:p>
        <w:p w14:paraId="432B677A">
          <w:pPr>
            <w:pStyle w:val="13"/>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"_Toc22141899" </w:instrText>
          </w:r>
          <w:r>
            <w:rPr>
              <w:highlight w:val="none"/>
            </w:rPr>
            <w:fldChar w:fldCharType="separate"/>
          </w:r>
          <w:r>
            <w:rPr>
              <w:rStyle w:val="20"/>
              <w:rFonts w:hint="eastAsia"/>
              <w:color w:val="auto"/>
              <w:highlight w:val="none"/>
              <w:u w:val="none"/>
            </w:rPr>
            <w:t>（一）专业教学计划表</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4</w:t>
          </w:r>
        </w:p>
        <w:p w14:paraId="394E011A">
          <w:pPr>
            <w:pStyle w:val="13"/>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"_Toc22141900" </w:instrText>
          </w:r>
          <w:r>
            <w:rPr>
              <w:highlight w:val="none"/>
            </w:rPr>
            <w:fldChar w:fldCharType="separate"/>
          </w:r>
          <w:r>
            <w:rPr>
              <w:rStyle w:val="20"/>
              <w:color w:val="auto"/>
              <w:highlight w:val="none"/>
              <w:u w:val="none"/>
            </w:rPr>
            <w:t>（</w:t>
          </w:r>
          <w:r>
            <w:rPr>
              <w:rStyle w:val="20"/>
              <w:rFonts w:hint="eastAsia"/>
              <w:color w:val="auto"/>
              <w:highlight w:val="none"/>
              <w:u w:val="none"/>
            </w:rPr>
            <w:t>二</w:t>
          </w:r>
          <w:r>
            <w:rPr>
              <w:rStyle w:val="20"/>
              <w:color w:val="auto"/>
              <w:highlight w:val="none"/>
              <w:u w:val="none"/>
            </w:rPr>
            <w:t>）</w:t>
          </w:r>
          <w:r>
            <w:rPr>
              <w:rStyle w:val="20"/>
              <w:rFonts w:hint="eastAsia"/>
              <w:color w:val="auto"/>
              <w:highlight w:val="none"/>
              <w:u w:val="none"/>
            </w:rPr>
            <w:t>专业教育教学活动时间安排表</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4</w:t>
          </w:r>
        </w:p>
        <w:p w14:paraId="353A238A">
          <w:pPr>
            <w:pStyle w:val="12"/>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"_Toc22141906" </w:instrText>
          </w:r>
          <w:r>
            <w:rPr>
              <w:highlight w:val="none"/>
            </w:rPr>
            <w:fldChar w:fldCharType="separate"/>
          </w:r>
          <w:r>
            <w:rPr>
              <w:rStyle w:val="20"/>
              <w:rFonts w:hint="eastAsia"/>
              <w:color w:val="auto"/>
              <w:highlight w:val="none"/>
            </w:rPr>
            <w:t>八、实施保障</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4</w:t>
          </w:r>
        </w:p>
        <w:p w14:paraId="00A10C45">
          <w:pPr>
            <w:pStyle w:val="13"/>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"_Toc22141907" </w:instrText>
          </w:r>
          <w:r>
            <w:rPr>
              <w:highlight w:val="none"/>
            </w:rPr>
            <w:fldChar w:fldCharType="separate"/>
          </w:r>
          <w:r>
            <w:rPr>
              <w:highlight w:val="none"/>
            </w:rPr>
            <w:fldChar w:fldCharType="begin"/>
          </w:r>
          <w:r>
            <w:rPr>
              <w:highlight w:val="none"/>
            </w:rPr>
            <w:instrText xml:space="preserve"> HYPERLINK \l "_Toc22141899" </w:instrText>
          </w:r>
          <w:r>
            <w:rPr>
              <w:highlight w:val="none"/>
            </w:rPr>
            <w:fldChar w:fldCharType="separate"/>
          </w:r>
          <w:r>
            <w:rPr>
              <w:rStyle w:val="20"/>
              <w:rFonts w:hint="eastAsia"/>
              <w:color w:val="auto"/>
              <w:highlight w:val="none"/>
              <w:u w:val="none"/>
            </w:rPr>
            <w:t>（一）师资队伍</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4</w:t>
          </w:r>
        </w:p>
        <w:p w14:paraId="7CD44819">
          <w:pPr>
            <w:pStyle w:val="13"/>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"_Toc22141900" </w:instrText>
          </w:r>
          <w:r>
            <w:rPr>
              <w:highlight w:val="none"/>
            </w:rPr>
            <w:fldChar w:fldCharType="separate"/>
          </w:r>
          <w:r>
            <w:rPr>
              <w:rStyle w:val="20"/>
              <w:color w:val="auto"/>
              <w:highlight w:val="none"/>
              <w:u w:val="none"/>
            </w:rPr>
            <w:t>（</w:t>
          </w:r>
          <w:r>
            <w:rPr>
              <w:rStyle w:val="20"/>
              <w:rFonts w:hint="eastAsia"/>
              <w:color w:val="auto"/>
              <w:highlight w:val="none"/>
              <w:u w:val="none"/>
            </w:rPr>
            <w:t>二</w:t>
          </w:r>
          <w:r>
            <w:rPr>
              <w:rStyle w:val="20"/>
              <w:color w:val="auto"/>
              <w:highlight w:val="none"/>
              <w:u w:val="none"/>
            </w:rPr>
            <w:t>）</w:t>
          </w:r>
          <w:r>
            <w:rPr>
              <w:rStyle w:val="20"/>
              <w:rFonts w:hint="eastAsia"/>
              <w:color w:val="auto"/>
              <w:highlight w:val="none"/>
              <w:u w:val="none"/>
            </w:rPr>
            <w:t>教学实施</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5</w:t>
          </w:r>
        </w:p>
        <w:p w14:paraId="18CF98D3">
          <w:pPr>
            <w:pStyle w:val="13"/>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"_Toc22141900" </w:instrText>
          </w:r>
          <w:r>
            <w:rPr>
              <w:highlight w:val="none"/>
            </w:rPr>
            <w:fldChar w:fldCharType="separate"/>
          </w:r>
          <w:r>
            <w:rPr>
              <w:rStyle w:val="20"/>
              <w:color w:val="auto"/>
              <w:highlight w:val="none"/>
              <w:u w:val="none"/>
            </w:rPr>
            <w:t>（</w:t>
          </w:r>
          <w:r>
            <w:rPr>
              <w:rStyle w:val="20"/>
              <w:rFonts w:hint="eastAsia"/>
              <w:color w:val="auto"/>
              <w:highlight w:val="none"/>
              <w:u w:val="none"/>
            </w:rPr>
            <w:t>三</w:t>
          </w:r>
          <w:r>
            <w:rPr>
              <w:rStyle w:val="20"/>
              <w:color w:val="auto"/>
              <w:highlight w:val="none"/>
              <w:u w:val="none"/>
            </w:rPr>
            <w:t>）</w:t>
          </w:r>
          <w:r>
            <w:rPr>
              <w:rStyle w:val="20"/>
              <w:rFonts w:hint="eastAsia"/>
              <w:color w:val="auto"/>
              <w:highlight w:val="none"/>
              <w:u w:val="none"/>
            </w:rPr>
            <w:t>教学资源</w:t>
          </w:r>
          <w:r>
            <w:rPr>
              <w:highlight w:val="none"/>
            </w:rPr>
            <w:tab/>
          </w:r>
          <w:r>
            <w:rPr>
              <w:rFonts w:hint="eastAsia"/>
              <w:highlight w:val="none"/>
              <w:lang w:val="en-US" w:eastAsia="zh-CN"/>
            </w:rPr>
            <w:t>2</w:t>
          </w:r>
          <w:r>
            <w:rPr>
              <w:highlight w:val="none"/>
            </w:rPr>
            <w:fldChar w:fldCharType="end"/>
          </w:r>
          <w:r>
            <w:rPr>
              <w:highlight w:val="none"/>
            </w:rPr>
            <w:fldChar w:fldCharType="end"/>
          </w:r>
          <w:r>
            <w:rPr>
              <w:rFonts w:hint="eastAsia"/>
              <w:highlight w:val="none"/>
              <w:lang w:val="en-US" w:eastAsia="zh-CN"/>
            </w:rPr>
            <w:t>6</w:t>
          </w:r>
        </w:p>
        <w:p w14:paraId="2315DE77">
          <w:pPr>
            <w:pStyle w:val="13"/>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"_Toc22141899" </w:instrText>
          </w:r>
          <w:r>
            <w:rPr>
              <w:highlight w:val="none"/>
            </w:rPr>
            <w:fldChar w:fldCharType="separate"/>
          </w:r>
          <w:r>
            <w:rPr>
              <w:rStyle w:val="20"/>
              <w:rFonts w:hint="eastAsia"/>
              <w:color w:val="auto"/>
              <w:highlight w:val="none"/>
              <w:u w:val="none"/>
            </w:rPr>
            <w:t>（四）教学方法</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7</w:t>
          </w:r>
        </w:p>
        <w:p w14:paraId="0A9CCA38">
          <w:pPr>
            <w:pStyle w:val="13"/>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"_Toc22141900" </w:instrText>
          </w:r>
          <w:r>
            <w:rPr>
              <w:highlight w:val="none"/>
            </w:rPr>
            <w:fldChar w:fldCharType="separate"/>
          </w:r>
          <w:r>
            <w:rPr>
              <w:rStyle w:val="20"/>
              <w:color w:val="auto"/>
              <w:highlight w:val="none"/>
              <w:u w:val="none"/>
            </w:rPr>
            <w:t>（</w:t>
          </w:r>
          <w:r>
            <w:rPr>
              <w:rStyle w:val="20"/>
              <w:rFonts w:hint="eastAsia"/>
              <w:color w:val="auto"/>
              <w:highlight w:val="none"/>
              <w:u w:val="none"/>
            </w:rPr>
            <w:t>五</w:t>
          </w:r>
          <w:r>
            <w:rPr>
              <w:rStyle w:val="20"/>
              <w:color w:val="auto"/>
              <w:highlight w:val="none"/>
              <w:u w:val="none"/>
            </w:rPr>
            <w:t>）</w:t>
          </w:r>
          <w:r>
            <w:rPr>
              <w:rStyle w:val="20"/>
              <w:rFonts w:hint="eastAsia"/>
              <w:color w:val="auto"/>
              <w:highlight w:val="none"/>
              <w:u w:val="none"/>
            </w:rPr>
            <w:t>学习评价</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7</w:t>
          </w:r>
        </w:p>
        <w:p w14:paraId="77DE5A2F">
          <w:pPr>
            <w:pStyle w:val="12"/>
            <w:tabs>
              <w:tab w:val="right" w:leader="dot" w:pos="9436"/>
            </w:tabs>
            <w:ind w:firstLine="420" w:firstLineChars="200"/>
            <w:rPr>
              <w:rFonts w:hint="eastAsia" w:eastAsiaTheme="minorEastAsia"/>
              <w:highlight w:val="none"/>
              <w:lang w:val="en-US" w:eastAsia="zh-CN"/>
            </w:rPr>
          </w:pPr>
          <w:r>
            <w:rPr>
              <w:highlight w:val="none"/>
            </w:rPr>
            <w:fldChar w:fldCharType="begin"/>
          </w:r>
          <w:r>
            <w:rPr>
              <w:highlight w:val="none"/>
            </w:rPr>
            <w:instrText xml:space="preserve"> HYPERLINK \l "_Toc22141900" </w:instrText>
          </w:r>
          <w:r>
            <w:rPr>
              <w:highlight w:val="none"/>
            </w:rPr>
            <w:fldChar w:fldCharType="separate"/>
          </w:r>
          <w:r>
            <w:rPr>
              <w:rStyle w:val="20"/>
              <w:color w:val="auto"/>
              <w:highlight w:val="none"/>
              <w:u w:val="none"/>
            </w:rPr>
            <w:t>（</w:t>
          </w:r>
          <w:r>
            <w:rPr>
              <w:rStyle w:val="20"/>
              <w:rFonts w:hint="eastAsia"/>
              <w:color w:val="auto"/>
              <w:highlight w:val="none"/>
              <w:u w:val="none"/>
            </w:rPr>
            <w:t>六</w:t>
          </w:r>
          <w:r>
            <w:rPr>
              <w:rStyle w:val="20"/>
              <w:color w:val="auto"/>
              <w:highlight w:val="none"/>
              <w:u w:val="none"/>
            </w:rPr>
            <w:t>）</w:t>
          </w:r>
          <w:r>
            <w:rPr>
              <w:rStyle w:val="20"/>
              <w:rFonts w:hint="eastAsia"/>
              <w:color w:val="auto"/>
              <w:highlight w:val="none"/>
              <w:u w:val="none"/>
            </w:rPr>
            <w:t>质量管理</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8</w:t>
          </w:r>
        </w:p>
        <w:p w14:paraId="759C0C7B">
          <w:pPr>
            <w:pStyle w:val="12"/>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"_Toc22141906" </w:instrText>
          </w:r>
          <w:r>
            <w:rPr>
              <w:highlight w:val="none"/>
            </w:rPr>
            <w:fldChar w:fldCharType="separate"/>
          </w:r>
          <w:r>
            <w:rPr>
              <w:rStyle w:val="20"/>
              <w:rFonts w:hint="eastAsia"/>
              <w:color w:val="auto"/>
              <w:highlight w:val="none"/>
            </w:rPr>
            <w:t>九、毕业要求</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8</w:t>
          </w:r>
        </w:p>
        <w:p w14:paraId="603135D3">
          <w:pPr>
            <w:pStyle w:val="13"/>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"_Toc22141907" </w:instrText>
          </w:r>
          <w:r>
            <w:rPr>
              <w:highlight w:val="none"/>
            </w:rPr>
            <w:fldChar w:fldCharType="separate"/>
          </w:r>
          <w:r>
            <w:rPr>
              <w:highlight w:val="none"/>
            </w:rPr>
            <w:fldChar w:fldCharType="begin"/>
          </w:r>
          <w:r>
            <w:rPr>
              <w:highlight w:val="none"/>
            </w:rPr>
            <w:instrText xml:space="preserve"> HYPERLINK \l "_Toc22141899" </w:instrText>
          </w:r>
          <w:r>
            <w:rPr>
              <w:highlight w:val="none"/>
            </w:rPr>
            <w:fldChar w:fldCharType="separate"/>
          </w:r>
          <w:r>
            <w:rPr>
              <w:rStyle w:val="20"/>
              <w:rFonts w:hint="eastAsia"/>
              <w:color w:val="auto"/>
              <w:highlight w:val="none"/>
              <w:u w:val="none"/>
            </w:rPr>
            <w:t>（一）学分要求</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8</w:t>
          </w:r>
        </w:p>
        <w:p w14:paraId="7BEEB4CF">
          <w:pPr>
            <w:pStyle w:val="13"/>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"_Toc22141900" </w:instrText>
          </w:r>
          <w:r>
            <w:rPr>
              <w:highlight w:val="none"/>
            </w:rPr>
            <w:fldChar w:fldCharType="separate"/>
          </w:r>
          <w:r>
            <w:rPr>
              <w:rStyle w:val="20"/>
              <w:color w:val="auto"/>
              <w:highlight w:val="none"/>
              <w:u w:val="none"/>
            </w:rPr>
            <w:t>（</w:t>
          </w:r>
          <w:r>
            <w:rPr>
              <w:rStyle w:val="20"/>
              <w:rFonts w:hint="eastAsia"/>
              <w:color w:val="auto"/>
              <w:highlight w:val="none"/>
              <w:u w:val="none"/>
            </w:rPr>
            <w:t>二</w:t>
          </w:r>
          <w:r>
            <w:rPr>
              <w:rStyle w:val="20"/>
              <w:color w:val="auto"/>
              <w:highlight w:val="none"/>
              <w:u w:val="none"/>
            </w:rPr>
            <w:t>）</w:t>
          </w:r>
          <w:r>
            <w:rPr>
              <w:rStyle w:val="20"/>
              <w:rFonts w:hint="eastAsia"/>
              <w:color w:val="auto"/>
              <w:highlight w:val="none"/>
              <w:u w:val="none"/>
            </w:rPr>
            <w:t>体质测试要求</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8</w:t>
          </w:r>
        </w:p>
        <w:p w14:paraId="001940F1">
          <w:pPr>
            <w:pStyle w:val="13"/>
            <w:tabs>
              <w:tab w:val="right" w:leader="dot" w:pos="9436"/>
            </w:tabs>
            <w:rPr>
              <w:rFonts w:hint="eastAsia" w:eastAsiaTheme="minorEastAsia"/>
              <w:highlight w:val="none"/>
              <w:lang w:val="en-US" w:eastAsia="zh-CN"/>
            </w:rPr>
          </w:pPr>
          <w:r>
            <w:rPr>
              <w:highlight w:val="none"/>
            </w:rPr>
            <w:fldChar w:fldCharType="begin"/>
          </w:r>
          <w:r>
            <w:rPr>
              <w:highlight w:val="none"/>
            </w:rPr>
            <w:instrText xml:space="preserve"> HYPERLINK \l "_Toc22141900" </w:instrText>
          </w:r>
          <w:r>
            <w:rPr>
              <w:highlight w:val="none"/>
            </w:rPr>
            <w:fldChar w:fldCharType="separate"/>
          </w:r>
          <w:r>
            <w:rPr>
              <w:rStyle w:val="20"/>
              <w:color w:val="auto"/>
              <w:highlight w:val="none"/>
              <w:u w:val="none"/>
            </w:rPr>
            <w:t>（</w:t>
          </w:r>
          <w:r>
            <w:rPr>
              <w:rStyle w:val="20"/>
              <w:rFonts w:hint="eastAsia"/>
              <w:color w:val="auto"/>
              <w:highlight w:val="none"/>
              <w:u w:val="none"/>
            </w:rPr>
            <w:t>三</w:t>
          </w:r>
          <w:r>
            <w:rPr>
              <w:rStyle w:val="20"/>
              <w:color w:val="auto"/>
              <w:highlight w:val="none"/>
              <w:u w:val="none"/>
            </w:rPr>
            <w:t>）</w:t>
          </w:r>
          <w:r>
            <w:rPr>
              <w:rStyle w:val="20"/>
              <w:rFonts w:hint="eastAsia"/>
              <w:color w:val="auto"/>
              <w:highlight w:val="none"/>
              <w:u w:val="none"/>
            </w:rPr>
            <w:t>德智体美劳全面发展要求</w:t>
          </w:r>
          <w:r>
            <w:rPr>
              <w:highlight w:val="none"/>
            </w:rPr>
            <w:tab/>
          </w:r>
          <w:r>
            <w:rPr>
              <w:rFonts w:hint="eastAsia"/>
              <w:highlight w:val="none"/>
              <w:lang w:val="en-US" w:eastAsia="zh-CN"/>
            </w:rPr>
            <w:t>2</w:t>
          </w:r>
          <w:r>
            <w:rPr>
              <w:highlight w:val="none"/>
            </w:rPr>
            <w:fldChar w:fldCharType="end"/>
          </w:r>
          <w:r>
            <w:rPr>
              <w:highlight w:val="none"/>
            </w:rPr>
            <w:fldChar w:fldCharType="end"/>
          </w:r>
          <w:r>
            <w:rPr>
              <w:rFonts w:hint="eastAsia"/>
              <w:highlight w:val="none"/>
              <w:lang w:val="en-US" w:eastAsia="zh-CN"/>
            </w:rPr>
            <w:t>8</w:t>
          </w:r>
        </w:p>
        <w:p w14:paraId="2BA97A63">
          <w:pPr>
            <w:pStyle w:val="13"/>
            <w:tabs>
              <w:tab w:val="right" w:leader="dot" w:pos="9436"/>
            </w:tabs>
            <w:rPr>
              <w:highlight w:val="none"/>
            </w:rPr>
          </w:pPr>
        </w:p>
        <w:p w14:paraId="430873FD">
          <w:r>
            <w:rPr>
              <w:b/>
              <w:bCs/>
              <w:highlight w:val="none"/>
              <w:lang w:val="zh-CN"/>
            </w:rPr>
            <w:fldChar w:fldCharType="end"/>
          </w:r>
        </w:p>
      </w:sdtContent>
    </w:sdt>
    <w:p w14:paraId="29096BA4">
      <w:pPr>
        <w:spacing w:line="360" w:lineRule="auto"/>
        <w:ind w:right="1200" w:firstLine="480" w:firstLineChars="200"/>
        <w:jc w:val="center"/>
        <w:rPr>
          <w:rFonts w:ascii="宋体" w:hAnsi="宋体" w:eastAsia="宋体" w:cs="宋体"/>
          <w:sz w:val="24"/>
          <w:szCs w:val="24"/>
        </w:rPr>
        <w:sectPr>
          <w:headerReference r:id="rId3" w:type="default"/>
          <w:footerReference r:id="rId4" w:type="default"/>
          <w:pgSz w:w="11906" w:h="16838"/>
          <w:pgMar w:top="1134" w:right="1230" w:bottom="1440" w:left="1230" w:header="851" w:footer="992" w:gutter="0"/>
          <w:pgNumType w:start="1"/>
          <w:cols w:space="720" w:num="1"/>
          <w:titlePg/>
          <w:docGrid w:type="lines" w:linePitch="312" w:charSpace="0"/>
        </w:sectPr>
      </w:pPr>
    </w:p>
    <w:bookmarkEnd w:id="0"/>
    <w:p w14:paraId="6F4F8631">
      <w:pPr>
        <w:pStyle w:val="2"/>
        <w:rPr>
          <w:rFonts w:ascii="黑体" w:hAnsi="黑体" w:eastAsia="黑体"/>
          <w:b w:val="0"/>
          <w:bCs w:val="0"/>
        </w:rPr>
      </w:pPr>
      <w:bookmarkStart w:id="1" w:name="_Toc22141885"/>
      <w:r>
        <w:rPr>
          <w:rFonts w:hint="eastAsia" w:ascii="黑体" w:hAnsi="黑体" w:eastAsia="黑体"/>
          <w:b w:val="0"/>
          <w:bCs w:val="0"/>
        </w:rPr>
        <w:t>一、专业</w:t>
      </w:r>
      <w:bookmarkEnd w:id="1"/>
      <w:r>
        <w:rPr>
          <w:rFonts w:hint="eastAsia" w:ascii="黑体" w:hAnsi="黑体" w:eastAsia="黑体"/>
          <w:b w:val="0"/>
          <w:bCs w:val="0"/>
        </w:rPr>
        <w:t>名称及代码</w:t>
      </w:r>
    </w:p>
    <w:p w14:paraId="6FE57994">
      <w:pPr>
        <w:ind w:firstLine="420"/>
        <w:rPr>
          <w:rFonts w:asciiTheme="majorEastAsia" w:hAnsiTheme="majorEastAsia" w:eastAsiaTheme="majorEastAsia"/>
        </w:rPr>
      </w:pPr>
      <w:r>
        <w:rPr>
          <w:rFonts w:hint="eastAsia" w:asciiTheme="majorEastAsia" w:hAnsiTheme="majorEastAsia" w:eastAsiaTheme="majorEastAsia"/>
        </w:rPr>
        <w:t xml:space="preserve">专业名称：商务英语  </w:t>
      </w:r>
    </w:p>
    <w:p w14:paraId="2800EA7B">
      <w:pPr>
        <w:ind w:firstLine="420"/>
        <w:rPr>
          <w:rFonts w:asciiTheme="majorEastAsia" w:hAnsiTheme="majorEastAsia" w:eastAsiaTheme="majorEastAsia"/>
        </w:rPr>
      </w:pPr>
      <w:r>
        <w:rPr>
          <w:rFonts w:hint="eastAsia" w:asciiTheme="majorEastAsia" w:hAnsiTheme="majorEastAsia" w:eastAsiaTheme="majorEastAsia"/>
        </w:rPr>
        <w:t>专业代码：570201</w:t>
      </w:r>
    </w:p>
    <w:p w14:paraId="0BC3A68F">
      <w:pPr>
        <w:pStyle w:val="3"/>
        <w:pageBreakBefore w:val="0"/>
        <w:widowControl w:val="0"/>
        <w:kinsoku/>
        <w:wordWrap/>
        <w:overflowPunct/>
        <w:topLinePunct w:val="0"/>
        <w:autoSpaceDE/>
        <w:autoSpaceDN/>
        <w:bidi w:val="0"/>
        <w:adjustRightInd/>
        <w:textAlignment w:val="auto"/>
        <w:rPr>
          <w:rFonts w:ascii="黑体" w:hAnsi="黑体" w:eastAsia="黑体" w:cstheme="minorBidi"/>
          <w:b w:val="0"/>
          <w:bCs w:val="0"/>
          <w:kern w:val="44"/>
          <w:szCs w:val="44"/>
        </w:rPr>
      </w:pPr>
      <w:bookmarkStart w:id="2" w:name="_Toc22141888"/>
      <w:r>
        <w:rPr>
          <w:rFonts w:hint="eastAsia" w:ascii="黑体" w:hAnsi="黑体" w:eastAsia="黑体" w:cstheme="minorBidi"/>
          <w:b w:val="0"/>
          <w:bCs w:val="0"/>
          <w:kern w:val="44"/>
          <w:szCs w:val="44"/>
        </w:rPr>
        <w:t>二、入学要求</w:t>
      </w:r>
      <w:bookmarkEnd w:id="2"/>
      <w:r>
        <w:rPr>
          <w:rFonts w:hint="eastAsia" w:ascii="黑体" w:hAnsi="黑体" w:eastAsia="黑体" w:cstheme="minorBidi"/>
          <w:b w:val="0"/>
          <w:bCs w:val="0"/>
          <w:kern w:val="44"/>
          <w:szCs w:val="44"/>
        </w:rPr>
        <w:t xml:space="preserve"> </w:t>
      </w:r>
    </w:p>
    <w:p w14:paraId="31C5CC4F">
      <w:pPr>
        <w:pageBreakBefore w:val="0"/>
        <w:widowControl w:val="0"/>
        <w:kinsoku/>
        <w:wordWrap/>
        <w:overflowPunct/>
        <w:topLinePunct w:val="0"/>
        <w:autoSpaceDE/>
        <w:autoSpaceDN/>
        <w:bidi w:val="0"/>
        <w:adjustRightInd/>
        <w:ind w:firstLine="420" w:firstLineChars="200"/>
        <w:textAlignment w:val="auto"/>
        <w:rPr>
          <w:rFonts w:hint="eastAsia" w:asciiTheme="minorEastAsia" w:hAnsiTheme="minorEastAsia"/>
        </w:rPr>
      </w:pPr>
      <w:bookmarkStart w:id="3" w:name="_Toc22141889"/>
      <w:r>
        <w:rPr>
          <w:rFonts w:hint="eastAsia" w:asciiTheme="minorEastAsia" w:hAnsiTheme="minorEastAsia"/>
        </w:rPr>
        <w:t>高中阶段教育毕业生或具有同等学力者。</w:t>
      </w:r>
    </w:p>
    <w:p w14:paraId="1CF4087B">
      <w:pPr>
        <w:rPr>
          <w:rFonts w:ascii="黑体" w:hAnsi="黑体" w:eastAsia="黑体"/>
          <w:b w:val="0"/>
          <w:bCs w:val="0"/>
          <w:kern w:val="44"/>
          <w:sz w:val="28"/>
          <w:szCs w:val="44"/>
        </w:rPr>
      </w:pPr>
      <w:r>
        <w:rPr>
          <w:rFonts w:hint="eastAsia" w:ascii="黑体" w:hAnsi="黑体" w:eastAsia="黑体"/>
          <w:b w:val="0"/>
          <w:bCs w:val="0"/>
          <w:kern w:val="44"/>
          <w:sz w:val="28"/>
          <w:szCs w:val="44"/>
        </w:rPr>
        <w:t>三、修业年限</w:t>
      </w:r>
      <w:bookmarkEnd w:id="3"/>
      <w:r>
        <w:rPr>
          <w:rFonts w:hint="eastAsia" w:ascii="黑体" w:hAnsi="黑体" w:eastAsia="黑体"/>
          <w:b w:val="0"/>
          <w:bCs w:val="0"/>
          <w:kern w:val="44"/>
          <w:sz w:val="28"/>
          <w:szCs w:val="44"/>
        </w:rPr>
        <w:t xml:space="preserve"> </w:t>
      </w:r>
    </w:p>
    <w:p w14:paraId="3097A8E3">
      <w:pPr>
        <w:ind w:firstLine="420" w:firstLineChars="200"/>
        <w:rPr>
          <w:rFonts w:asciiTheme="minorEastAsia" w:hAnsiTheme="minorEastAsia"/>
        </w:rPr>
      </w:pPr>
      <w:r>
        <w:rPr>
          <w:rFonts w:hint="eastAsia" w:asciiTheme="minorEastAsia" w:hAnsiTheme="minorEastAsia"/>
        </w:rPr>
        <w:t>基本学制3年，实行弹性学制，推行学分制。学习合格取得全日制普通高等学校专科学历。</w:t>
      </w:r>
    </w:p>
    <w:p w14:paraId="0193F6E1">
      <w:pPr>
        <w:keepNext/>
        <w:keepLines/>
        <w:adjustRightInd w:val="0"/>
        <w:snapToGrid w:val="0"/>
        <w:spacing w:before="100" w:beforeAutospacing="1" w:after="100" w:afterAutospacing="1"/>
        <w:outlineLvl w:val="0"/>
        <w:rPr>
          <w:rFonts w:eastAsia="黑体"/>
          <w:bCs/>
          <w:kern w:val="44"/>
          <w:sz w:val="28"/>
          <w:szCs w:val="44"/>
        </w:rPr>
      </w:pPr>
      <w:bookmarkStart w:id="4" w:name="_Toc89793264"/>
      <w:r>
        <w:rPr>
          <w:rFonts w:hint="eastAsia" w:eastAsia="黑体"/>
          <w:bCs/>
          <w:kern w:val="44"/>
          <w:sz w:val="28"/>
          <w:szCs w:val="44"/>
        </w:rPr>
        <w:t>四、职业面向</w:t>
      </w:r>
      <w:bookmarkEnd w:id="4"/>
    </w:p>
    <w:p w14:paraId="4497FDDF">
      <w:pPr>
        <w:jc w:val="center"/>
        <w:rPr>
          <w:rFonts w:asciiTheme="minorEastAsia" w:hAnsiTheme="minorEastAsia"/>
        </w:rPr>
      </w:pPr>
      <w:r>
        <w:rPr>
          <w:rFonts w:hint="eastAsia" w:asciiTheme="minorEastAsia" w:hAnsiTheme="minorEastAsia"/>
        </w:rPr>
        <w:t>表1</w:t>
      </w:r>
      <w:r>
        <w:rPr>
          <w:rFonts w:asciiTheme="minorEastAsia" w:hAnsiTheme="minorEastAsia"/>
        </w:rPr>
        <w:t xml:space="preserve"> </w:t>
      </w:r>
      <w:r>
        <w:rPr>
          <w:rFonts w:hint="eastAsia" w:asciiTheme="minorEastAsia" w:hAnsiTheme="minorEastAsia"/>
        </w:rPr>
        <w:t>职业面向</w:t>
      </w:r>
    </w:p>
    <w:tbl>
      <w:tblPr>
        <w:tblStyle w:val="29"/>
        <w:tblW w:w="7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134"/>
        <w:gridCol w:w="1088"/>
        <w:gridCol w:w="1038"/>
        <w:gridCol w:w="1418"/>
        <w:gridCol w:w="1984"/>
      </w:tblGrid>
      <w:tr w14:paraId="4DEF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tcPr>
          <w:p w14:paraId="51BEF507">
            <w:pPr>
              <w:keepNext w:val="0"/>
              <w:keepLines w:val="0"/>
              <w:suppressLineNumbers w:val="0"/>
              <w:spacing w:before="0" w:beforeAutospacing="0" w:after="0" w:afterAutospacing="0"/>
              <w:ind w:left="0" w:right="0"/>
              <w:jc w:val="center"/>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sz w:val="18"/>
                <w:szCs w:val="18"/>
              </w:rPr>
              <w:t>所属专业大类（代码）</w:t>
            </w:r>
          </w:p>
        </w:tc>
        <w:tc>
          <w:tcPr>
            <w:tcW w:w="1134" w:type="dxa"/>
          </w:tcPr>
          <w:p w14:paraId="4ECEF1A8">
            <w:pPr>
              <w:keepNext w:val="0"/>
              <w:keepLines w:val="0"/>
              <w:suppressLineNumbers w:val="0"/>
              <w:spacing w:before="0" w:beforeAutospacing="0" w:after="0" w:afterAutospacing="0"/>
              <w:ind w:left="0" w:right="0"/>
              <w:jc w:val="center"/>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sz w:val="18"/>
                <w:szCs w:val="18"/>
              </w:rPr>
              <w:t>所属专业类（代码）</w:t>
            </w:r>
          </w:p>
        </w:tc>
        <w:tc>
          <w:tcPr>
            <w:tcW w:w="1088" w:type="dxa"/>
          </w:tcPr>
          <w:p w14:paraId="3176FC95">
            <w:pPr>
              <w:keepNext w:val="0"/>
              <w:keepLines w:val="0"/>
              <w:suppressLineNumbers w:val="0"/>
              <w:spacing w:before="0" w:beforeAutospacing="0" w:after="0" w:afterAutospacing="0"/>
              <w:ind w:left="0" w:right="0"/>
              <w:jc w:val="center"/>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sz w:val="18"/>
                <w:szCs w:val="18"/>
              </w:rPr>
              <w:t>对应行业</w:t>
            </w:r>
          </w:p>
          <w:p w14:paraId="66EA949D">
            <w:pPr>
              <w:keepNext w:val="0"/>
              <w:keepLines w:val="0"/>
              <w:suppressLineNumbers w:val="0"/>
              <w:spacing w:before="0" w:beforeAutospacing="0" w:after="0" w:afterAutospacing="0"/>
              <w:ind w:left="0" w:right="0"/>
              <w:jc w:val="center"/>
              <w:rPr>
                <w:rFonts w:hint="default" w:cs="Times New Roman" w:asciiTheme="majorEastAsia" w:hAnsiTheme="majorEastAsia" w:eastAsiaTheme="majorEastAsia"/>
                <w:sz w:val="18"/>
                <w:szCs w:val="18"/>
              </w:rPr>
            </w:pPr>
          </w:p>
        </w:tc>
        <w:tc>
          <w:tcPr>
            <w:tcW w:w="1038" w:type="dxa"/>
          </w:tcPr>
          <w:p w14:paraId="542B0B61">
            <w:pPr>
              <w:keepNext w:val="0"/>
              <w:keepLines w:val="0"/>
              <w:suppressLineNumbers w:val="0"/>
              <w:spacing w:before="0" w:beforeAutospacing="0" w:after="0" w:afterAutospacing="0"/>
              <w:ind w:left="0" w:right="0"/>
              <w:jc w:val="center"/>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sz w:val="18"/>
                <w:szCs w:val="18"/>
              </w:rPr>
              <w:t>主要职业类别</w:t>
            </w:r>
          </w:p>
        </w:tc>
        <w:tc>
          <w:tcPr>
            <w:tcW w:w="1418" w:type="dxa"/>
          </w:tcPr>
          <w:p w14:paraId="79EFEB85">
            <w:pPr>
              <w:keepNext w:val="0"/>
              <w:keepLines w:val="0"/>
              <w:suppressLineNumbers w:val="0"/>
              <w:spacing w:before="0" w:beforeAutospacing="0" w:after="0" w:afterAutospacing="0"/>
              <w:ind w:left="0" w:right="0"/>
              <w:jc w:val="center"/>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sz w:val="18"/>
                <w:szCs w:val="18"/>
              </w:rPr>
              <w:t>主要岗位类别或技术领域</w:t>
            </w:r>
          </w:p>
        </w:tc>
        <w:tc>
          <w:tcPr>
            <w:tcW w:w="1984" w:type="dxa"/>
          </w:tcPr>
          <w:p w14:paraId="0E85814D">
            <w:pPr>
              <w:keepNext w:val="0"/>
              <w:keepLines w:val="0"/>
              <w:suppressLineNumbers w:val="0"/>
              <w:spacing w:before="0" w:beforeAutospacing="0" w:after="0" w:afterAutospacing="0"/>
              <w:ind w:left="0" w:right="0"/>
              <w:jc w:val="center"/>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sz w:val="18"/>
                <w:szCs w:val="18"/>
              </w:rPr>
              <w:t>职业技能等级证书、社会认可度高的行业企业（人才）标准或证书举例</w:t>
            </w:r>
          </w:p>
        </w:tc>
      </w:tr>
      <w:tr w14:paraId="284D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7" w:type="dxa"/>
          </w:tcPr>
          <w:p w14:paraId="0A42E7C8">
            <w:pPr>
              <w:keepNext w:val="0"/>
              <w:keepLines w:val="0"/>
              <w:suppressLineNumbers w:val="0"/>
              <w:spacing w:before="0" w:beforeAutospacing="0" w:after="0" w:afterAutospacing="0"/>
              <w:ind w:left="0" w:right="0"/>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sz w:val="18"/>
                <w:szCs w:val="18"/>
              </w:rPr>
              <w:t>教育与体育大类（57）</w:t>
            </w:r>
          </w:p>
        </w:tc>
        <w:tc>
          <w:tcPr>
            <w:tcW w:w="1134" w:type="dxa"/>
          </w:tcPr>
          <w:p w14:paraId="09666E88">
            <w:pPr>
              <w:keepNext w:val="0"/>
              <w:keepLines w:val="0"/>
              <w:suppressLineNumbers w:val="0"/>
              <w:spacing w:before="0" w:beforeAutospacing="0" w:after="0" w:afterAutospacing="0"/>
              <w:ind w:left="0" w:right="0"/>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sz w:val="18"/>
                <w:szCs w:val="18"/>
              </w:rPr>
              <w:t>语言类（5702）</w:t>
            </w:r>
          </w:p>
        </w:tc>
        <w:tc>
          <w:tcPr>
            <w:tcW w:w="1088" w:type="dxa"/>
          </w:tcPr>
          <w:p w14:paraId="52333343">
            <w:pPr>
              <w:keepNext w:val="0"/>
              <w:keepLines w:val="0"/>
              <w:suppressLineNumbers w:val="0"/>
              <w:spacing w:before="0" w:beforeAutospacing="0" w:after="0" w:afterAutospacing="0"/>
              <w:ind w:left="0" w:right="0"/>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sz w:val="18"/>
                <w:szCs w:val="18"/>
              </w:rPr>
              <w:t>商务服务业、批发业、零售业</w:t>
            </w:r>
          </w:p>
        </w:tc>
        <w:tc>
          <w:tcPr>
            <w:tcW w:w="1038" w:type="dxa"/>
          </w:tcPr>
          <w:p w14:paraId="0EEE8317">
            <w:pPr>
              <w:keepNext w:val="0"/>
              <w:keepLines w:val="0"/>
              <w:suppressLineNumbers w:val="0"/>
              <w:spacing w:before="0" w:beforeAutospacing="0" w:after="0" w:afterAutospacing="0"/>
              <w:ind w:left="0" w:right="0"/>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sz w:val="18"/>
                <w:szCs w:val="18"/>
              </w:rPr>
              <w:t>翻译人员、商务专业人员</w:t>
            </w:r>
          </w:p>
        </w:tc>
        <w:tc>
          <w:tcPr>
            <w:tcW w:w="1418" w:type="dxa"/>
          </w:tcPr>
          <w:p w14:paraId="2783D627">
            <w:pPr>
              <w:keepNext w:val="0"/>
              <w:keepLines w:val="0"/>
              <w:suppressLineNumbers w:val="0"/>
              <w:spacing w:before="0" w:beforeAutospacing="0" w:after="0" w:afterAutospacing="0"/>
              <w:ind w:left="0" w:right="0"/>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sz w:val="18"/>
                <w:szCs w:val="18"/>
              </w:rPr>
              <w:t>商务翻译、外贸业务员、跨境电子商务运营专员</w:t>
            </w:r>
          </w:p>
        </w:tc>
        <w:tc>
          <w:tcPr>
            <w:tcW w:w="1984" w:type="dxa"/>
          </w:tcPr>
          <w:p w14:paraId="7CD7D406">
            <w:pPr>
              <w:keepNext w:val="0"/>
              <w:keepLines w:val="0"/>
              <w:suppressLineNumbers w:val="0"/>
              <w:spacing w:before="0" w:beforeAutospacing="0" w:after="0" w:afterAutospacing="0"/>
              <w:ind w:left="0" w:right="0"/>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b/>
                <w:sz w:val="18"/>
                <w:szCs w:val="18"/>
              </w:rPr>
              <w:t>基本技能证书</w:t>
            </w:r>
            <w:r>
              <w:rPr>
                <w:rFonts w:hint="eastAsia" w:cs="Times New Roman" w:asciiTheme="majorEastAsia" w:hAnsiTheme="majorEastAsia" w:eastAsiaTheme="majorEastAsia"/>
                <w:sz w:val="18"/>
                <w:szCs w:val="18"/>
              </w:rPr>
              <w:t>：大学英语四/六级证书CET4/6（全国大学英语四/六级考试委员会）、英语专业四级TEM4（高校外语专业教学测试办公室）、全国计算机等级考试一级证书或各类办公软件证书（教育部考试中心）</w:t>
            </w:r>
          </w:p>
          <w:p w14:paraId="3E7E92AD">
            <w:pPr>
              <w:keepNext w:val="0"/>
              <w:keepLines w:val="0"/>
              <w:suppressLineNumbers w:val="0"/>
              <w:spacing w:before="0" w:beforeAutospacing="0" w:after="0" w:afterAutospacing="0"/>
              <w:ind w:left="0" w:right="0"/>
              <w:rPr>
                <w:rFonts w:hint="default" w:cs="Times New Roman" w:asciiTheme="majorEastAsia" w:hAnsiTheme="majorEastAsia" w:eastAsiaTheme="majorEastAsia"/>
                <w:sz w:val="18"/>
                <w:szCs w:val="18"/>
              </w:rPr>
            </w:pPr>
            <w:r>
              <w:rPr>
                <w:rFonts w:hint="eastAsia" w:cs="Times New Roman" w:asciiTheme="majorEastAsia" w:hAnsiTheme="majorEastAsia" w:eastAsiaTheme="majorEastAsia"/>
                <w:b/>
                <w:sz w:val="18"/>
                <w:szCs w:val="18"/>
              </w:rPr>
              <w:t>职业资格证书：</w:t>
            </w:r>
            <w:r>
              <w:rPr>
                <w:rFonts w:hint="eastAsia" w:cs="Times New Roman" w:asciiTheme="majorEastAsia" w:hAnsiTheme="majorEastAsia" w:eastAsiaTheme="majorEastAsia"/>
                <w:b w:val="0"/>
                <w:bCs/>
                <w:sz w:val="18"/>
                <w:szCs w:val="18"/>
                <w:lang w:eastAsia="zh-CN"/>
              </w:rPr>
              <w:t>实用</w:t>
            </w:r>
            <w:r>
              <w:rPr>
                <w:rFonts w:hint="eastAsia" w:cs="Times New Roman" w:asciiTheme="majorEastAsia" w:hAnsiTheme="majorEastAsia" w:eastAsiaTheme="majorEastAsia"/>
                <w:b w:val="0"/>
                <w:bCs/>
                <w:sz w:val="18"/>
                <w:szCs w:val="18"/>
              </w:rPr>
              <w:t>英</w:t>
            </w:r>
            <w:r>
              <w:rPr>
                <w:rFonts w:hint="eastAsia" w:cs="Times New Roman" w:asciiTheme="majorEastAsia" w:hAnsiTheme="majorEastAsia" w:eastAsiaTheme="majorEastAsia"/>
                <w:sz w:val="18"/>
                <w:szCs w:val="18"/>
              </w:rPr>
              <w:t>语</w:t>
            </w:r>
            <w:r>
              <w:rPr>
                <w:rFonts w:hint="eastAsia" w:cs="Times New Roman" w:asciiTheme="majorEastAsia" w:hAnsiTheme="majorEastAsia" w:eastAsiaTheme="majorEastAsia"/>
                <w:sz w:val="18"/>
                <w:szCs w:val="18"/>
                <w:lang w:eastAsia="zh-CN"/>
              </w:rPr>
              <w:t>交际</w:t>
            </w:r>
            <w:r>
              <w:rPr>
                <w:rFonts w:hint="eastAsia" w:cs="Times New Roman" w:asciiTheme="majorEastAsia" w:hAnsiTheme="majorEastAsia" w:eastAsiaTheme="majorEastAsia"/>
                <w:sz w:val="18"/>
                <w:szCs w:val="18"/>
              </w:rPr>
              <w:t>职业技能等级</w:t>
            </w:r>
            <w:r>
              <w:rPr>
                <w:rFonts w:hint="eastAsia" w:cs="Times New Roman" w:asciiTheme="majorEastAsia" w:hAnsiTheme="majorEastAsia" w:eastAsiaTheme="majorEastAsia"/>
                <w:sz w:val="18"/>
                <w:szCs w:val="18"/>
                <w:lang w:eastAsia="zh-CN"/>
              </w:rPr>
              <w:t>考试（</w:t>
            </w:r>
            <w:r>
              <w:rPr>
                <w:rFonts w:hint="eastAsia" w:cs="Times New Roman" w:asciiTheme="majorEastAsia" w:hAnsiTheme="majorEastAsia" w:eastAsiaTheme="majorEastAsia"/>
                <w:sz w:val="18"/>
                <w:szCs w:val="18"/>
              </w:rPr>
              <w:t>VETS</w:t>
            </w:r>
            <w:r>
              <w:rPr>
                <w:rFonts w:hint="eastAsia" w:cs="Times New Roman" w:asciiTheme="majorEastAsia" w:hAnsiTheme="majorEastAsia" w:eastAsiaTheme="majorEastAsia"/>
                <w:sz w:val="18"/>
                <w:szCs w:val="18"/>
                <w:lang w:eastAsia="zh-CN"/>
              </w:rPr>
              <w:t>）</w:t>
            </w:r>
            <w:r>
              <w:rPr>
                <w:rFonts w:hint="eastAsia" w:cs="Times New Roman" w:asciiTheme="majorEastAsia" w:hAnsiTheme="majorEastAsia" w:eastAsiaTheme="majorEastAsia"/>
                <w:sz w:val="18"/>
                <w:szCs w:val="18"/>
              </w:rPr>
              <w:t>证书（中国职业外语教育发展研究中心）、剑桥商务英语证书BEC（剑桥大学考试委员会）、全国翻译专业资格（水平）考试CATTI（中国外文出版发行事业局）、国际人才英语考试证书（北京外国语大学中国外语测评中心）、阿里巴巴跨境电商人才初级证书（阿里巴巴（中国）教育科技有限公司）、与商务英语专业相关的其他资格证书（如托业、职业核心能力证书等）</w:t>
            </w:r>
          </w:p>
        </w:tc>
      </w:tr>
    </w:tbl>
    <w:p w14:paraId="2A4CD104"/>
    <w:p w14:paraId="51BB19C1">
      <w:pPr>
        <w:pStyle w:val="3"/>
        <w:rPr>
          <w:rFonts w:ascii="黑体" w:hAnsi="黑体" w:eastAsia="黑体" w:cstheme="minorBidi"/>
          <w:b w:val="0"/>
          <w:bCs w:val="0"/>
          <w:kern w:val="44"/>
          <w:szCs w:val="44"/>
        </w:rPr>
      </w:pPr>
      <w:bookmarkStart w:id="5" w:name="_Toc22141890"/>
      <w:r>
        <w:rPr>
          <w:rFonts w:hint="eastAsia" w:ascii="黑体" w:hAnsi="黑体" w:eastAsia="黑体" w:cstheme="minorBidi"/>
          <w:b w:val="0"/>
          <w:bCs w:val="0"/>
          <w:kern w:val="44"/>
          <w:szCs w:val="44"/>
        </w:rPr>
        <w:t>五、培养目标</w:t>
      </w:r>
      <w:bookmarkEnd w:id="5"/>
      <w:r>
        <w:rPr>
          <w:rFonts w:hint="eastAsia" w:ascii="黑体" w:hAnsi="黑体" w:eastAsia="黑体" w:cstheme="minorBidi"/>
          <w:b w:val="0"/>
          <w:bCs w:val="0"/>
          <w:kern w:val="44"/>
          <w:szCs w:val="44"/>
        </w:rPr>
        <w:t>与培养规格</w:t>
      </w:r>
    </w:p>
    <w:p w14:paraId="0803F8C7">
      <w:pPr>
        <w:keepNext/>
        <w:keepLines/>
        <w:snapToGrid w:val="0"/>
        <w:spacing w:before="100" w:beforeAutospacing="1" w:after="100" w:afterAutospacing="1"/>
        <w:ind w:firstLine="560" w:firstLineChars="200"/>
        <w:outlineLvl w:val="1"/>
        <w:rPr>
          <w:rFonts w:eastAsia="楷体" w:asciiTheme="majorHAnsi" w:hAnsiTheme="majorHAnsi" w:cstheme="majorBidi"/>
          <w:bCs/>
          <w:sz w:val="28"/>
          <w:szCs w:val="32"/>
        </w:rPr>
      </w:pPr>
      <w:r>
        <w:rPr>
          <w:rFonts w:hint="eastAsia" w:eastAsia="楷体" w:asciiTheme="majorHAnsi" w:hAnsiTheme="majorHAnsi" w:cstheme="majorBidi"/>
          <w:bCs/>
          <w:sz w:val="28"/>
          <w:szCs w:val="32"/>
        </w:rPr>
        <w:t>（一）培养目标</w:t>
      </w:r>
    </w:p>
    <w:p w14:paraId="5723C0E4">
      <w:pPr>
        <w:keepNext/>
        <w:keepLines/>
        <w:pageBreakBefore w:val="0"/>
        <w:widowControl w:val="0"/>
        <w:kinsoku/>
        <w:wordWrap/>
        <w:overflowPunct/>
        <w:topLinePunct w:val="0"/>
        <w:autoSpaceDE/>
        <w:autoSpaceDN/>
        <w:bidi w:val="0"/>
        <w:adjustRightInd/>
        <w:snapToGrid w:val="0"/>
        <w:spacing w:before="100" w:beforeAutospacing="1" w:after="100" w:afterAutospacing="1"/>
        <w:ind w:firstLine="420" w:firstLineChars="200"/>
        <w:textAlignment w:val="auto"/>
        <w:outlineLvl w:val="1"/>
        <w:rPr>
          <w:rFonts w:asciiTheme="minorEastAsia" w:hAnsiTheme="minorEastAsia"/>
        </w:rPr>
      </w:pPr>
      <w:r>
        <w:rPr>
          <w:rFonts w:hint="eastAsia" w:asciiTheme="minorEastAsia" w:hAnsiTheme="minorEastAsia"/>
        </w:rPr>
        <w:t>本专业以立德树人为根本任务，推进思政课程与课程思政同向同行，培养思想政治坚定、德智体美劳全面发展，具有社会主义核心价值观和家国情怀，具备一定科学文化水平，良好的人文素养、职业道德和创新意识及精益求精的工匠精神，适应新形势下转型升级、紧跟社会发展、经济建设、粤港澳大湾区发展需要，掌握国际贸易实务、外贸函电、商务翻译、商务谈判与沟通、跨境电商等专业知识，具有较强认知与合作能力、商贸实践操作能力、信息技术处理能力、可持续发展能力，能够在现代</w:t>
      </w:r>
      <w:r>
        <w:rPr>
          <w:rFonts w:asciiTheme="minorEastAsia" w:hAnsiTheme="minorEastAsia"/>
        </w:rPr>
        <w:t>服务业</w:t>
      </w:r>
      <w:r>
        <w:rPr>
          <w:rFonts w:hint="eastAsia" w:asciiTheme="minorEastAsia" w:hAnsiTheme="minorEastAsia"/>
        </w:rPr>
        <w:t>、</w:t>
      </w:r>
      <w:r>
        <w:rPr>
          <w:rFonts w:asciiTheme="minorEastAsia" w:hAnsiTheme="minorEastAsia"/>
        </w:rPr>
        <w:t>批发</w:t>
      </w:r>
      <w:r>
        <w:rPr>
          <w:rFonts w:hint="eastAsia" w:asciiTheme="minorEastAsia" w:hAnsiTheme="minorEastAsia"/>
        </w:rPr>
        <w:t>业、</w:t>
      </w:r>
      <w:r>
        <w:rPr>
          <w:rFonts w:asciiTheme="minorEastAsia" w:hAnsiTheme="minorEastAsia"/>
        </w:rPr>
        <w:t>零售</w:t>
      </w:r>
      <w:r>
        <w:rPr>
          <w:rFonts w:hint="eastAsia" w:asciiTheme="minorEastAsia" w:hAnsiTheme="minorEastAsia"/>
        </w:rPr>
        <w:t>业和涉外行业</w:t>
      </w:r>
      <w:r>
        <w:rPr>
          <w:rFonts w:asciiTheme="minorEastAsia" w:hAnsiTheme="minorEastAsia"/>
        </w:rPr>
        <w:t>等领域</w:t>
      </w:r>
      <w:r>
        <w:rPr>
          <w:rFonts w:hint="eastAsia" w:asciiTheme="minorEastAsia" w:hAnsiTheme="minorEastAsia"/>
        </w:rPr>
        <w:t>从事</w:t>
      </w:r>
      <w:r>
        <w:rPr>
          <w:rFonts w:asciiTheme="minorEastAsia" w:hAnsiTheme="minorEastAsia"/>
        </w:rPr>
        <w:t>商务翻译</w:t>
      </w:r>
      <w:r>
        <w:rPr>
          <w:rFonts w:hint="eastAsia" w:asciiTheme="minorEastAsia" w:hAnsiTheme="minorEastAsia"/>
        </w:rPr>
        <w:t>、进出口业务</w:t>
      </w:r>
      <w:r>
        <w:rPr>
          <w:rFonts w:asciiTheme="minorEastAsia" w:hAnsiTheme="minorEastAsia"/>
        </w:rPr>
        <w:t>、跨境</w:t>
      </w:r>
      <w:r>
        <w:rPr>
          <w:rFonts w:hint="eastAsia" w:asciiTheme="minorEastAsia" w:hAnsiTheme="minorEastAsia"/>
        </w:rPr>
        <w:t>电子商务运营、涉外商务事务处理等工作的复合型技术技能人才。</w:t>
      </w:r>
    </w:p>
    <w:p w14:paraId="01EEF017">
      <w:pPr>
        <w:pStyle w:val="2"/>
        <w:ind w:firstLine="560" w:firstLineChars="200"/>
        <w:rPr>
          <w:rFonts w:eastAsia="楷体" w:asciiTheme="majorHAnsi" w:hAnsiTheme="majorHAnsi" w:cstheme="majorBidi"/>
          <w:b w:val="0"/>
          <w:kern w:val="2"/>
          <w:szCs w:val="32"/>
        </w:rPr>
      </w:pPr>
      <w:bookmarkStart w:id="6" w:name="_Toc22141892"/>
      <w:r>
        <w:rPr>
          <w:rFonts w:hint="eastAsia" w:eastAsia="楷体" w:asciiTheme="majorHAnsi" w:hAnsiTheme="majorHAnsi" w:cstheme="majorBidi"/>
          <w:b w:val="0"/>
          <w:kern w:val="2"/>
          <w:szCs w:val="32"/>
        </w:rPr>
        <w:t>（二）培养规格</w:t>
      </w:r>
      <w:bookmarkEnd w:id="6"/>
      <w:r>
        <w:rPr>
          <w:rFonts w:hint="eastAsia" w:eastAsia="楷体" w:asciiTheme="majorHAnsi" w:hAnsiTheme="majorHAnsi" w:cstheme="majorBidi"/>
          <w:b w:val="0"/>
          <w:kern w:val="2"/>
          <w:szCs w:val="32"/>
        </w:rPr>
        <w:t xml:space="preserve"> </w:t>
      </w:r>
    </w:p>
    <w:p w14:paraId="221268A7">
      <w:pPr>
        <w:pStyle w:val="3"/>
        <w:ind w:firstLine="422" w:firstLineChars="200"/>
        <w:rPr>
          <w:rFonts w:hint="eastAsia" w:ascii="仿宋" w:hAnsi="仿宋" w:eastAsia="仿宋" w:cs="仿宋"/>
          <w:b/>
          <w:bCs w:val="0"/>
          <w:sz w:val="21"/>
          <w:szCs w:val="21"/>
        </w:rPr>
      </w:pPr>
      <w:bookmarkStart w:id="7" w:name="_Toc22141893"/>
      <w:r>
        <w:rPr>
          <w:rFonts w:hint="eastAsia" w:ascii="仿宋" w:hAnsi="仿宋" w:eastAsia="仿宋" w:cs="仿宋"/>
          <w:b/>
          <w:bCs w:val="0"/>
          <w:sz w:val="21"/>
          <w:szCs w:val="21"/>
        </w:rPr>
        <w:t>1.素质要求</w:t>
      </w:r>
      <w:bookmarkEnd w:id="7"/>
    </w:p>
    <w:p w14:paraId="0F1C3C06">
      <w:pPr>
        <w:ind w:firstLine="420" w:firstLineChars="200"/>
        <w:rPr>
          <w:rFonts w:asciiTheme="minorEastAsia" w:hAnsiTheme="minorEastAsia"/>
        </w:rPr>
      </w:pPr>
      <w:r>
        <w:rPr>
          <w:rFonts w:hint="eastAsia" w:asciiTheme="minorEastAsia" w:hAnsiTheme="minorEastAsia"/>
        </w:rPr>
        <w:t>1.1坚定拥护中国共产党领导和我国社会主义制度，在习近平新时代中国特色社会主义思想指引下，践行社会主义核心价值观、具有深厚的爱国情感和中华民族自豪感。</w:t>
      </w:r>
    </w:p>
    <w:p w14:paraId="39D2A049">
      <w:pPr>
        <w:ind w:firstLine="420"/>
        <w:rPr>
          <w:rFonts w:asciiTheme="minorEastAsia" w:hAnsiTheme="minorEastAsia"/>
        </w:rPr>
      </w:pPr>
      <w:r>
        <w:rPr>
          <w:rFonts w:hint="eastAsia" w:asciiTheme="minorEastAsia" w:hAnsiTheme="minorEastAsia"/>
        </w:rPr>
        <w:t>1.2崇尚宪法、尊法守纪、崇德向善、诚实守信、尊重生命、热爱劳动、履行道德准则和行为规范，具有社会责任感和社会参与意识。</w:t>
      </w:r>
    </w:p>
    <w:p w14:paraId="3BB00564">
      <w:pPr>
        <w:ind w:firstLine="420"/>
        <w:rPr>
          <w:rFonts w:asciiTheme="minorEastAsia" w:hAnsiTheme="minorEastAsia"/>
        </w:rPr>
      </w:pPr>
      <w:r>
        <w:rPr>
          <w:rFonts w:hint="eastAsia" w:asciiTheme="minorEastAsia" w:hAnsiTheme="minorEastAsia"/>
        </w:rPr>
        <w:t>1.3具有质量意识、绿色环保意识、安全意识、信息素养、创新思维和创新精神。</w:t>
      </w:r>
    </w:p>
    <w:p w14:paraId="36C1340D">
      <w:pPr>
        <w:ind w:firstLine="420"/>
        <w:rPr>
          <w:rFonts w:asciiTheme="minorEastAsia" w:hAnsiTheme="minorEastAsia"/>
        </w:rPr>
      </w:pPr>
      <w:r>
        <w:rPr>
          <w:rFonts w:hint="eastAsia" w:asciiTheme="minorEastAsia" w:hAnsiTheme="minorEastAsia"/>
        </w:rPr>
        <w:t>1.4勇于奋斗、乐观向上、具有自我管理能力、职业生涯规划的意识、精益求精的工匠精神、较强的集体意识和团队合作精神。</w:t>
      </w:r>
    </w:p>
    <w:p w14:paraId="170D4F16">
      <w:pPr>
        <w:ind w:firstLine="420"/>
        <w:rPr>
          <w:rFonts w:asciiTheme="minorEastAsia" w:hAnsiTheme="minorEastAsia"/>
        </w:rPr>
      </w:pPr>
      <w:r>
        <w:rPr>
          <w:rFonts w:hint="eastAsia" w:asciiTheme="minorEastAsia" w:hAnsiTheme="minorEastAsia"/>
        </w:rPr>
        <w:t>1.5具有健康的体魄和心理、健全的人格，能够掌握基本运动知识和1—2项运动技能，养成良好的生活习惯和行为习惯。</w:t>
      </w:r>
    </w:p>
    <w:p w14:paraId="433CFF69">
      <w:pPr>
        <w:ind w:firstLine="420" w:firstLineChars="200"/>
        <w:rPr>
          <w:rFonts w:asciiTheme="minorEastAsia" w:hAnsiTheme="minorEastAsia"/>
        </w:rPr>
      </w:pPr>
      <w:r>
        <w:rPr>
          <w:rFonts w:hint="eastAsia" w:asciiTheme="minorEastAsia" w:hAnsiTheme="minorEastAsia"/>
        </w:rPr>
        <w:t>1.6具有感受美、表现美、鉴赏美、创造美的能力，具有一定的审美和人文素养，能够形成1—2项艺术特长或爱好。</w:t>
      </w:r>
    </w:p>
    <w:p w14:paraId="217BC290">
      <w:pPr>
        <w:pStyle w:val="3"/>
        <w:ind w:firstLine="422" w:firstLineChars="200"/>
        <w:rPr>
          <w:rFonts w:hint="eastAsia" w:ascii="仿宋" w:hAnsi="仿宋" w:eastAsia="仿宋" w:cs="仿宋"/>
          <w:b/>
          <w:bCs w:val="0"/>
          <w:sz w:val="21"/>
          <w:szCs w:val="21"/>
        </w:rPr>
      </w:pPr>
      <w:r>
        <w:rPr>
          <w:rFonts w:hint="eastAsia" w:ascii="仿宋" w:hAnsi="仿宋" w:eastAsia="仿宋" w:cs="仿宋"/>
          <w:b/>
          <w:bCs w:val="0"/>
          <w:sz w:val="21"/>
          <w:szCs w:val="21"/>
        </w:rPr>
        <w:t>2.知识要求</w:t>
      </w:r>
    </w:p>
    <w:p w14:paraId="51D83DDB">
      <w:pPr>
        <w:overflowPunct w:val="0"/>
        <w:spacing w:line="440" w:lineRule="exact"/>
        <w:ind w:firstLine="420" w:firstLineChars="200"/>
        <w:rPr>
          <w:rFonts w:asciiTheme="minorEastAsia" w:hAnsiTheme="minorEastAsia"/>
        </w:rPr>
      </w:pPr>
      <w:r>
        <w:rPr>
          <w:rFonts w:hint="eastAsia" w:asciiTheme="minorEastAsia" w:hAnsiTheme="minorEastAsia"/>
        </w:rPr>
        <w:t>2</w:t>
      </w:r>
      <w:r>
        <w:rPr>
          <w:rFonts w:asciiTheme="minorEastAsia" w:hAnsiTheme="minorEastAsia"/>
        </w:rPr>
        <w:t>.</w:t>
      </w:r>
      <w:r>
        <w:rPr>
          <w:rFonts w:hint="eastAsia" w:asciiTheme="minorEastAsia" w:hAnsiTheme="minorEastAsia"/>
        </w:rPr>
        <w:t>1掌握必备的思想政治理论、科学文化基础知识和中华优秀传统文化知识；</w:t>
      </w:r>
    </w:p>
    <w:p w14:paraId="3AC57E8B">
      <w:pPr>
        <w:overflowPunct w:val="0"/>
        <w:spacing w:line="440" w:lineRule="exact"/>
        <w:ind w:firstLine="420" w:firstLineChars="200"/>
        <w:rPr>
          <w:rFonts w:asciiTheme="minorEastAsia" w:hAnsiTheme="minorEastAsia"/>
        </w:rPr>
      </w:pPr>
      <w:r>
        <w:rPr>
          <w:rFonts w:asciiTheme="minorEastAsia" w:hAnsiTheme="minorEastAsia"/>
        </w:rPr>
        <w:t>2.</w:t>
      </w:r>
      <w:r>
        <w:rPr>
          <w:rFonts w:hint="eastAsia" w:asciiTheme="minorEastAsia" w:hAnsiTheme="minorEastAsia"/>
        </w:rPr>
        <w:t>2熟悉与本专业相关的法律法规以及信息技术、绿色生产、环境保护、安全消防等相关知识；</w:t>
      </w:r>
    </w:p>
    <w:p w14:paraId="2AC018D5">
      <w:pPr>
        <w:overflowPunct w:val="0"/>
        <w:spacing w:line="440" w:lineRule="exact"/>
        <w:ind w:firstLine="420" w:firstLineChars="200"/>
        <w:rPr>
          <w:rFonts w:asciiTheme="minorEastAsia" w:hAnsiTheme="minorEastAsia"/>
        </w:rPr>
      </w:pPr>
      <w:r>
        <w:rPr>
          <w:rFonts w:hint="eastAsia" w:asciiTheme="minorEastAsia" w:hAnsiTheme="minorEastAsia"/>
        </w:rPr>
        <w:t>2</w:t>
      </w:r>
      <w:r>
        <w:rPr>
          <w:rFonts w:asciiTheme="minorEastAsia" w:hAnsiTheme="minorEastAsia"/>
        </w:rPr>
        <w:t>.</w:t>
      </w:r>
      <w:r>
        <w:rPr>
          <w:rFonts w:hint="eastAsia" w:asciiTheme="minorEastAsia" w:hAnsiTheme="minorEastAsia"/>
        </w:rPr>
        <w:t>3掌握较为扎实的英语语言基础</w:t>
      </w:r>
      <w:r>
        <w:rPr>
          <w:rFonts w:asciiTheme="minorEastAsia" w:hAnsiTheme="minorEastAsia"/>
        </w:rPr>
        <w:t>知识</w:t>
      </w:r>
      <w:r>
        <w:rPr>
          <w:rFonts w:hint="eastAsia" w:asciiTheme="minorEastAsia" w:hAnsiTheme="minorEastAsia"/>
        </w:rPr>
        <w:t>；</w:t>
      </w:r>
    </w:p>
    <w:p w14:paraId="3CBD7B1C">
      <w:pPr>
        <w:overflowPunct w:val="0"/>
        <w:spacing w:line="440" w:lineRule="exact"/>
        <w:ind w:firstLine="420" w:firstLineChars="200"/>
        <w:rPr>
          <w:rFonts w:asciiTheme="minorEastAsia" w:hAnsiTheme="minorEastAsia"/>
        </w:rPr>
      </w:pPr>
      <w:r>
        <w:rPr>
          <w:rFonts w:hint="eastAsia" w:asciiTheme="minorEastAsia" w:hAnsiTheme="minorEastAsia"/>
        </w:rPr>
        <w:t>2.4熟悉跨文化商务交际和国际商务礼仪知识；</w:t>
      </w:r>
    </w:p>
    <w:p w14:paraId="03E0EF4A">
      <w:pPr>
        <w:overflowPunct w:val="0"/>
        <w:spacing w:line="440" w:lineRule="exact"/>
        <w:ind w:firstLine="420" w:firstLineChars="200"/>
        <w:rPr>
          <w:rFonts w:asciiTheme="minorEastAsia" w:hAnsiTheme="minorEastAsia"/>
        </w:rPr>
      </w:pPr>
      <w:r>
        <w:rPr>
          <w:rFonts w:hint="eastAsia" w:asciiTheme="minorEastAsia" w:hAnsiTheme="minorEastAsia"/>
        </w:rPr>
        <w:t>2.5掌握较为扎实的商务翻译、进出口业务、跨境电子商务、涉外商务事务相关知识；</w:t>
      </w:r>
    </w:p>
    <w:p w14:paraId="7771A1E3">
      <w:pPr>
        <w:overflowPunct w:val="0"/>
        <w:spacing w:line="440" w:lineRule="exact"/>
        <w:ind w:firstLine="420" w:firstLineChars="200"/>
        <w:rPr>
          <w:rFonts w:asciiTheme="minorEastAsia" w:hAnsiTheme="minorEastAsia"/>
        </w:rPr>
      </w:pPr>
      <w:r>
        <w:rPr>
          <w:rFonts w:hint="eastAsia" w:asciiTheme="minorEastAsia" w:hAnsiTheme="minorEastAsia"/>
        </w:rPr>
        <w:t>2.6熟悉主要英语国家概况，了解“</w:t>
      </w:r>
      <w:r>
        <w:rPr>
          <w:rFonts w:asciiTheme="minorEastAsia" w:hAnsiTheme="minorEastAsia"/>
        </w:rPr>
        <w:t>一带一路</w:t>
      </w:r>
      <w:r>
        <w:rPr>
          <w:rFonts w:hint="eastAsia" w:asciiTheme="minorEastAsia" w:hAnsiTheme="minorEastAsia"/>
        </w:rPr>
        <w:t>”</w:t>
      </w:r>
      <w:r>
        <w:rPr>
          <w:rFonts w:asciiTheme="minorEastAsia" w:hAnsiTheme="minorEastAsia"/>
        </w:rPr>
        <w:t>沿线</w:t>
      </w:r>
      <w:r>
        <w:rPr>
          <w:rFonts w:hint="eastAsia" w:asciiTheme="minorEastAsia" w:hAnsiTheme="minorEastAsia"/>
        </w:rPr>
        <w:t>主要</w:t>
      </w:r>
      <w:r>
        <w:rPr>
          <w:rFonts w:asciiTheme="minorEastAsia" w:hAnsiTheme="minorEastAsia"/>
        </w:rPr>
        <w:t>国家</w:t>
      </w:r>
      <w:r>
        <w:rPr>
          <w:rFonts w:hint="eastAsia" w:asciiTheme="minorEastAsia" w:hAnsiTheme="minorEastAsia"/>
        </w:rPr>
        <w:t>概况；</w:t>
      </w:r>
    </w:p>
    <w:p w14:paraId="65C17211">
      <w:pPr>
        <w:overflowPunct w:val="0"/>
        <w:spacing w:line="440" w:lineRule="exact"/>
        <w:ind w:firstLine="420" w:firstLineChars="200"/>
        <w:rPr>
          <w:rFonts w:asciiTheme="minorEastAsia" w:hAnsiTheme="minorEastAsia"/>
        </w:rPr>
      </w:pPr>
      <w:r>
        <w:rPr>
          <w:rFonts w:hint="eastAsia" w:asciiTheme="minorEastAsia" w:hAnsiTheme="minorEastAsia"/>
        </w:rPr>
        <w:t>2.7了解与本专业相关的</w:t>
      </w:r>
      <w:r>
        <w:rPr>
          <w:rFonts w:asciiTheme="minorEastAsia" w:hAnsiTheme="minorEastAsia"/>
        </w:rPr>
        <w:t>新</w:t>
      </w:r>
      <w:r>
        <w:rPr>
          <w:rFonts w:hint="eastAsia" w:asciiTheme="minorEastAsia" w:hAnsiTheme="minorEastAsia"/>
        </w:rPr>
        <w:t>产业</w:t>
      </w:r>
      <w:r>
        <w:rPr>
          <w:rFonts w:asciiTheme="minorEastAsia" w:hAnsiTheme="minorEastAsia"/>
        </w:rPr>
        <w:t>、新业态</w:t>
      </w:r>
      <w:r>
        <w:rPr>
          <w:rFonts w:hint="eastAsia" w:asciiTheme="minorEastAsia" w:hAnsiTheme="minorEastAsia"/>
        </w:rPr>
        <w:t>和新商业模式。</w:t>
      </w:r>
    </w:p>
    <w:p w14:paraId="3E388596">
      <w:pPr>
        <w:pStyle w:val="3"/>
        <w:ind w:firstLine="422" w:firstLineChars="200"/>
        <w:rPr>
          <w:rFonts w:hint="eastAsia" w:ascii="仿宋" w:hAnsi="仿宋" w:eastAsia="仿宋" w:cs="仿宋"/>
          <w:b/>
          <w:bCs w:val="0"/>
          <w:sz w:val="21"/>
          <w:szCs w:val="21"/>
        </w:rPr>
      </w:pPr>
      <w:r>
        <w:rPr>
          <w:rFonts w:hint="eastAsia" w:ascii="仿宋" w:hAnsi="仿宋" w:eastAsia="仿宋" w:cs="仿宋"/>
          <w:b/>
          <w:bCs w:val="0"/>
          <w:sz w:val="21"/>
          <w:szCs w:val="21"/>
        </w:rPr>
        <w:t>3.能力要求</w:t>
      </w:r>
    </w:p>
    <w:p w14:paraId="6E9012A8">
      <w:pPr>
        <w:overflowPunct w:val="0"/>
        <w:spacing w:line="440" w:lineRule="exact"/>
        <w:ind w:firstLine="420" w:firstLineChars="200"/>
        <w:rPr>
          <w:rFonts w:asciiTheme="minorEastAsia" w:hAnsiTheme="minorEastAsia"/>
        </w:rPr>
      </w:pPr>
      <w:r>
        <w:rPr>
          <w:rFonts w:hint="eastAsia" w:asciiTheme="minorEastAsia" w:hAnsiTheme="minorEastAsia"/>
        </w:rPr>
        <w:t>3</w:t>
      </w:r>
      <w:r>
        <w:rPr>
          <w:rFonts w:asciiTheme="minorEastAsia" w:hAnsiTheme="minorEastAsia"/>
        </w:rPr>
        <w:t>.</w:t>
      </w:r>
      <w:r>
        <w:rPr>
          <w:rFonts w:hint="eastAsia" w:asciiTheme="minorEastAsia" w:hAnsiTheme="minorEastAsia"/>
        </w:rPr>
        <w:t>1具有探究学习、终身学习、分析问题和解决问题的能力；</w:t>
      </w:r>
    </w:p>
    <w:p w14:paraId="01287174">
      <w:pPr>
        <w:overflowPunct w:val="0"/>
        <w:spacing w:line="440" w:lineRule="exact"/>
        <w:ind w:firstLine="420" w:firstLineChars="200"/>
        <w:rPr>
          <w:rFonts w:asciiTheme="minorEastAsia" w:hAnsiTheme="minorEastAsia"/>
        </w:rPr>
      </w:pPr>
      <w:r>
        <w:rPr>
          <w:rFonts w:hint="eastAsia" w:asciiTheme="minorEastAsia" w:hAnsiTheme="minorEastAsia"/>
        </w:rPr>
        <w:t>3.2具有良好的语言、文字表达能力和沟通能力；</w:t>
      </w:r>
    </w:p>
    <w:p w14:paraId="5A39F297">
      <w:pPr>
        <w:overflowPunct w:val="0"/>
        <w:spacing w:line="440" w:lineRule="exact"/>
        <w:ind w:firstLine="420" w:firstLineChars="200"/>
        <w:rPr>
          <w:rFonts w:asciiTheme="minorEastAsia" w:hAnsiTheme="minorEastAsia"/>
        </w:rPr>
      </w:pPr>
      <w:r>
        <w:rPr>
          <w:rFonts w:hint="eastAsia" w:asciiTheme="minorEastAsia" w:hAnsiTheme="minorEastAsia"/>
        </w:rPr>
        <w:t>3.3具有数字技能，适应数字经济发展新需求；</w:t>
      </w:r>
    </w:p>
    <w:p w14:paraId="491EFD15">
      <w:pPr>
        <w:overflowPunct w:val="0"/>
        <w:spacing w:line="440" w:lineRule="exact"/>
        <w:ind w:firstLine="420" w:firstLineChars="200"/>
        <w:rPr>
          <w:rFonts w:asciiTheme="minorEastAsia" w:hAnsiTheme="minorEastAsia"/>
        </w:rPr>
      </w:pPr>
      <w:r>
        <w:rPr>
          <w:rFonts w:hint="eastAsia" w:asciiTheme="minorEastAsia" w:hAnsiTheme="minorEastAsia"/>
        </w:rPr>
        <w:t>3.4具有良好的英语听、说、读、写、译的综合应用能力，尤其是英语听说能力；</w:t>
      </w:r>
    </w:p>
    <w:p w14:paraId="1564B58C">
      <w:pPr>
        <w:overflowPunct w:val="0"/>
        <w:spacing w:line="440" w:lineRule="exact"/>
        <w:ind w:firstLine="420" w:firstLineChars="200"/>
        <w:rPr>
          <w:rFonts w:asciiTheme="minorEastAsia" w:hAnsiTheme="minorEastAsia"/>
        </w:rPr>
      </w:pPr>
      <w:r>
        <w:rPr>
          <w:rFonts w:hint="eastAsia" w:asciiTheme="minorEastAsia" w:hAnsiTheme="minorEastAsia"/>
        </w:rPr>
        <w:t>3.5具有良好的跨文化商务交际能力；</w:t>
      </w:r>
    </w:p>
    <w:p w14:paraId="70C7F869">
      <w:pPr>
        <w:overflowPunct w:val="0"/>
        <w:spacing w:line="440" w:lineRule="exact"/>
        <w:ind w:firstLine="420" w:firstLineChars="200"/>
        <w:rPr>
          <w:rFonts w:asciiTheme="minorEastAsia" w:hAnsiTheme="minorEastAsia"/>
        </w:rPr>
      </w:pPr>
      <w:r>
        <w:rPr>
          <w:rFonts w:hint="eastAsia" w:asciiTheme="minorEastAsia" w:hAnsiTheme="minorEastAsia"/>
        </w:rPr>
        <w:t>3.6具有较强的综合运用英语及商务知识进行商务翻译、进出口业务操作、跨境电子商务平台操作、涉外商务事务处理等能力；</w:t>
      </w:r>
    </w:p>
    <w:p w14:paraId="0125673E">
      <w:pPr>
        <w:overflowPunct w:val="0"/>
        <w:spacing w:line="440" w:lineRule="exact"/>
        <w:ind w:firstLine="420" w:firstLineChars="200"/>
        <w:rPr>
          <w:rFonts w:asciiTheme="minorEastAsia" w:hAnsiTheme="minorEastAsia"/>
        </w:rPr>
      </w:pPr>
      <w:r>
        <w:rPr>
          <w:rFonts w:hint="eastAsia" w:asciiTheme="minorEastAsia" w:hAnsiTheme="minorEastAsia"/>
        </w:rPr>
        <w:t>3</w:t>
      </w:r>
      <w:r>
        <w:rPr>
          <w:rFonts w:asciiTheme="minorEastAsia" w:hAnsiTheme="minorEastAsia"/>
        </w:rPr>
        <w:t>.</w:t>
      </w:r>
      <w:r>
        <w:rPr>
          <w:rFonts w:hint="eastAsia" w:asciiTheme="minorEastAsia" w:hAnsiTheme="minorEastAsia"/>
        </w:rPr>
        <w:t>7</w:t>
      </w:r>
      <w:r>
        <w:rPr>
          <w:rFonts w:asciiTheme="minorEastAsia" w:hAnsiTheme="minorEastAsia"/>
        </w:rPr>
        <w:t>具有</w:t>
      </w:r>
      <w:r>
        <w:rPr>
          <w:rFonts w:hint="eastAsia" w:asciiTheme="minorEastAsia" w:hAnsiTheme="minorEastAsia"/>
        </w:rPr>
        <w:t>较强的涉外商务活动</w:t>
      </w:r>
      <w:r>
        <w:rPr>
          <w:rFonts w:asciiTheme="minorEastAsia" w:hAnsiTheme="minorEastAsia"/>
        </w:rPr>
        <w:t>组织、协调</w:t>
      </w:r>
      <w:r>
        <w:rPr>
          <w:rFonts w:hint="eastAsia" w:asciiTheme="minorEastAsia" w:hAnsiTheme="minorEastAsia"/>
        </w:rPr>
        <w:t>和</w:t>
      </w:r>
      <w:r>
        <w:rPr>
          <w:rFonts w:asciiTheme="minorEastAsia" w:hAnsiTheme="minorEastAsia"/>
        </w:rPr>
        <w:t>管理能力</w:t>
      </w:r>
      <w:r>
        <w:rPr>
          <w:rFonts w:hint="eastAsia" w:asciiTheme="minorEastAsia" w:hAnsiTheme="minorEastAsia"/>
        </w:rPr>
        <w:t>。</w:t>
      </w:r>
    </w:p>
    <w:p w14:paraId="358EF770">
      <w:pPr>
        <w:keepNext/>
        <w:keepLines/>
        <w:adjustRightInd w:val="0"/>
        <w:snapToGrid w:val="0"/>
        <w:spacing w:before="100" w:beforeAutospacing="1" w:after="100" w:afterAutospacing="1"/>
        <w:ind w:left="420" w:leftChars="200"/>
        <w:outlineLvl w:val="0"/>
        <w:rPr>
          <w:rFonts w:ascii="黑体" w:hAnsi="黑体" w:eastAsia="黑体"/>
          <w:b/>
          <w:bCs/>
          <w:kern w:val="44"/>
          <w:sz w:val="28"/>
          <w:szCs w:val="44"/>
        </w:rPr>
      </w:pPr>
      <w:bookmarkStart w:id="8" w:name="_Toc89793271"/>
      <w:r>
        <w:rPr>
          <w:rFonts w:hint="eastAsia" w:ascii="黑体" w:hAnsi="黑体" w:eastAsia="黑体"/>
          <w:b/>
          <w:bCs/>
          <w:kern w:val="44"/>
          <w:sz w:val="28"/>
          <w:szCs w:val="44"/>
        </w:rPr>
        <w:t>六、课程设置及要求</w:t>
      </w:r>
      <w:bookmarkEnd w:id="8"/>
    </w:p>
    <w:p w14:paraId="2B31C426">
      <w:pPr>
        <w:ind w:firstLine="420" w:firstLineChars="200"/>
      </w:pPr>
      <w:r>
        <w:rPr>
          <w:rFonts w:hint="eastAsia"/>
        </w:rPr>
        <w:t>课程包括公共基础课程和专业（技能）课程。</w:t>
      </w:r>
    </w:p>
    <w:p w14:paraId="18526D2A">
      <w:pPr>
        <w:keepNext/>
        <w:keepLines/>
        <w:snapToGrid w:val="0"/>
        <w:spacing w:before="100" w:beforeAutospacing="1" w:after="100" w:afterAutospacing="1"/>
        <w:ind w:left="420" w:leftChars="200"/>
        <w:outlineLvl w:val="1"/>
        <w:rPr>
          <w:rFonts w:eastAsia="楷体" w:asciiTheme="majorHAnsi" w:hAnsiTheme="majorHAnsi" w:cstheme="majorBidi"/>
          <w:bCs/>
          <w:sz w:val="28"/>
          <w:szCs w:val="32"/>
        </w:rPr>
      </w:pPr>
      <w:bookmarkStart w:id="9" w:name="_Toc89793272"/>
      <w:r>
        <w:rPr>
          <w:rFonts w:hint="eastAsia" w:eastAsia="楷体" w:asciiTheme="majorHAnsi" w:hAnsiTheme="majorHAnsi" w:cstheme="majorBidi"/>
          <w:bCs/>
          <w:sz w:val="28"/>
          <w:szCs w:val="32"/>
        </w:rPr>
        <w:t>（一）公共基础课程</w:t>
      </w:r>
      <w:bookmarkEnd w:id="9"/>
    </w:p>
    <w:p w14:paraId="32D4ADA1">
      <w:pPr>
        <w:ind w:firstLine="420" w:firstLineChars="200"/>
      </w:pPr>
      <w:r>
        <w:rPr>
          <w:rFonts w:hint="eastAsia"/>
        </w:rPr>
        <w:t>公共基础课程分为公共必修课、公共选修课、限定选修课。</w:t>
      </w:r>
    </w:p>
    <w:p w14:paraId="7FA41EC5">
      <w:pPr>
        <w:keepNext/>
        <w:keepLines/>
        <w:spacing w:before="234" w:beforeLines="75" w:after="234" w:afterLines="75" w:line="280" w:lineRule="exact"/>
        <w:ind w:left="420" w:leftChars="200"/>
        <w:outlineLvl w:val="2"/>
        <w:rPr>
          <w:rFonts w:ascii="仿宋" w:hAnsi="仿宋" w:eastAsia="仿宋"/>
          <w:b/>
          <w:bCs/>
          <w:szCs w:val="32"/>
        </w:rPr>
      </w:pPr>
      <w:bookmarkStart w:id="10" w:name="_Toc89793273"/>
      <w:r>
        <w:rPr>
          <w:rFonts w:hint="eastAsia" w:ascii="仿宋" w:hAnsi="仿宋" w:eastAsia="仿宋"/>
          <w:b/>
          <w:bCs/>
          <w:szCs w:val="32"/>
        </w:rPr>
        <w:t>1.公共必修课</w:t>
      </w:r>
      <w:bookmarkEnd w:id="10"/>
    </w:p>
    <w:p w14:paraId="30BC1518">
      <w:pPr>
        <w:ind w:firstLine="420" w:firstLineChars="200"/>
      </w:pPr>
      <w:r>
        <w:rPr>
          <w:rFonts w:hint="eastAsia"/>
        </w:rPr>
        <w:t>本专业开设的公共必修课见表2。</w:t>
      </w:r>
    </w:p>
    <w:p w14:paraId="71357ADE">
      <w:pPr>
        <w:jc w:val="center"/>
        <w:rPr>
          <w:rFonts w:asciiTheme="minorEastAsia" w:hAnsiTheme="minorEastAsia"/>
        </w:rPr>
      </w:pPr>
      <w:r>
        <w:rPr>
          <w:rFonts w:hint="eastAsia" w:asciiTheme="minorEastAsia" w:hAnsiTheme="minorEastAsia"/>
        </w:rPr>
        <w:t>表2</w:t>
      </w:r>
      <w:r>
        <w:rPr>
          <w:rFonts w:asciiTheme="minorEastAsia" w:hAnsiTheme="minorEastAsia"/>
        </w:rPr>
        <w:t xml:space="preserve"> </w:t>
      </w:r>
      <w:r>
        <w:rPr>
          <w:rFonts w:hint="eastAsia" w:asciiTheme="minorEastAsia" w:hAnsiTheme="minorEastAsia"/>
        </w:rPr>
        <w:t>公共必修课</w:t>
      </w:r>
    </w:p>
    <w:tbl>
      <w:tblPr>
        <w:tblStyle w:val="1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14:paraId="7E4E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vAlign w:val="center"/>
          </w:tcPr>
          <w:p w14:paraId="492BB0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858" w:type="dxa"/>
            <w:vAlign w:val="center"/>
          </w:tcPr>
          <w:p w14:paraId="060701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课程名称</w:t>
            </w:r>
          </w:p>
        </w:tc>
        <w:tc>
          <w:tcPr>
            <w:tcW w:w="592" w:type="dxa"/>
            <w:vAlign w:val="center"/>
          </w:tcPr>
          <w:p w14:paraId="70B1ADB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学分</w:t>
            </w:r>
          </w:p>
        </w:tc>
        <w:tc>
          <w:tcPr>
            <w:tcW w:w="1176" w:type="dxa"/>
            <w:vAlign w:val="center"/>
          </w:tcPr>
          <w:p w14:paraId="735B2B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学时</w:t>
            </w:r>
          </w:p>
        </w:tc>
        <w:tc>
          <w:tcPr>
            <w:tcW w:w="2113" w:type="dxa"/>
            <w:vAlign w:val="center"/>
          </w:tcPr>
          <w:p w14:paraId="261762C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课程目标</w:t>
            </w:r>
          </w:p>
        </w:tc>
        <w:tc>
          <w:tcPr>
            <w:tcW w:w="2002" w:type="dxa"/>
            <w:vAlign w:val="center"/>
          </w:tcPr>
          <w:p w14:paraId="29EE625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主要内容和教学要求</w:t>
            </w:r>
          </w:p>
        </w:tc>
        <w:tc>
          <w:tcPr>
            <w:tcW w:w="580" w:type="dxa"/>
            <w:vAlign w:val="center"/>
          </w:tcPr>
          <w:p w14:paraId="7962130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14:paraId="3EF8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576" w:type="dxa"/>
            <w:vAlign w:val="center"/>
          </w:tcPr>
          <w:p w14:paraId="33C5C0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w:t>
            </w:r>
          </w:p>
        </w:tc>
        <w:tc>
          <w:tcPr>
            <w:tcW w:w="1858" w:type="dxa"/>
            <w:vAlign w:val="center"/>
          </w:tcPr>
          <w:p w14:paraId="68A6EE4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习近平新时代中国特色社会主义思想概论</w:t>
            </w:r>
          </w:p>
        </w:tc>
        <w:tc>
          <w:tcPr>
            <w:tcW w:w="592" w:type="dxa"/>
            <w:vAlign w:val="center"/>
          </w:tcPr>
          <w:p w14:paraId="5478CCB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default" w:asciiTheme="minorEastAsia" w:hAnsiTheme="minorEastAsia"/>
                <w:sz w:val="18"/>
                <w:szCs w:val="18"/>
              </w:rPr>
              <w:t>.0</w:t>
            </w:r>
          </w:p>
        </w:tc>
        <w:tc>
          <w:tcPr>
            <w:tcW w:w="1176" w:type="dxa"/>
            <w:vAlign w:val="center"/>
          </w:tcPr>
          <w:p w14:paraId="09440E51">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default" w:asciiTheme="minorEastAsia" w:hAnsiTheme="minorEastAsia"/>
                <w:sz w:val="18"/>
                <w:szCs w:val="18"/>
              </w:rPr>
              <w:t>60</w:t>
            </w:r>
          </w:p>
          <w:p w14:paraId="0D0A39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其中理论52，实践8</w:t>
            </w:r>
          </w:p>
        </w:tc>
        <w:tc>
          <w:tcPr>
            <w:tcW w:w="2113" w:type="dxa"/>
            <w:vAlign w:val="center"/>
          </w:tcPr>
          <w:p w14:paraId="6A4CD78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课程的学习，帮助学生深入领会习近平新时代中国特色社会主义思想的核心要义、精神实质、丰富内涵、实践要求，深刻理解其科学体系及历史地位，进一步增强大学生的“四个意识”，坚定“四个自信”，做到“两个维护”。</w:t>
            </w:r>
          </w:p>
        </w:tc>
        <w:tc>
          <w:tcPr>
            <w:tcW w:w="2002" w:type="dxa"/>
            <w:vAlign w:val="center"/>
          </w:tcPr>
          <w:p w14:paraId="1BFAF373">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w:t>
            </w:r>
            <w:r>
              <w:rPr>
                <w:rFonts w:hint="default" w:asciiTheme="minorEastAsia" w:hAnsiTheme="minorEastAsia"/>
                <w:sz w:val="18"/>
                <w:szCs w:val="18"/>
              </w:rPr>
              <w:t>.</w:t>
            </w:r>
            <w:r>
              <w:rPr>
                <w:rFonts w:hint="eastAsia" w:asciiTheme="minorEastAsia" w:hAnsiTheme="minorEastAsia"/>
                <w:sz w:val="18"/>
                <w:szCs w:val="18"/>
              </w:rPr>
              <w:t>课程的教学内容主要包括习近平强军思想、外交思想、法治思想、生态文明思想、经济思想以及总体国家安全观等。</w:t>
            </w:r>
          </w:p>
          <w:p w14:paraId="75E49A31">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14:paraId="53CF118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14:paraId="463C138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tc>
      </w:tr>
      <w:tr w14:paraId="0A44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6DDFAA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lang w:eastAsia="zh-CN"/>
              </w:rPr>
            </w:pPr>
            <w:r>
              <w:rPr>
                <w:rFonts w:hint="eastAsia" w:asciiTheme="minorEastAsia" w:hAnsiTheme="minorEastAsia"/>
                <w:sz w:val="18"/>
                <w:szCs w:val="18"/>
              </w:rPr>
              <w:t>2</w:t>
            </w:r>
          </w:p>
        </w:tc>
        <w:tc>
          <w:tcPr>
            <w:tcW w:w="1858" w:type="dxa"/>
            <w:vAlign w:val="center"/>
          </w:tcPr>
          <w:p w14:paraId="6CB0032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毛泽东思想和中国特色社会主义理论体系概论</w:t>
            </w:r>
          </w:p>
        </w:tc>
        <w:tc>
          <w:tcPr>
            <w:tcW w:w="592" w:type="dxa"/>
            <w:vAlign w:val="center"/>
          </w:tcPr>
          <w:p w14:paraId="2AF7650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default" w:asciiTheme="minorEastAsia" w:hAnsiTheme="minorEastAsia"/>
                <w:sz w:val="18"/>
                <w:szCs w:val="18"/>
              </w:rPr>
              <w:t>2</w:t>
            </w:r>
            <w:r>
              <w:rPr>
                <w:rFonts w:hint="eastAsia" w:asciiTheme="minorEastAsia" w:hAnsiTheme="minorEastAsia"/>
                <w:sz w:val="18"/>
                <w:szCs w:val="18"/>
              </w:rPr>
              <w:t>.0</w:t>
            </w:r>
          </w:p>
        </w:tc>
        <w:tc>
          <w:tcPr>
            <w:tcW w:w="1176" w:type="dxa"/>
            <w:vAlign w:val="center"/>
          </w:tcPr>
          <w:p w14:paraId="117B55A5">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default" w:asciiTheme="minorEastAsia" w:hAnsiTheme="minorEastAsia"/>
                <w:sz w:val="18"/>
                <w:szCs w:val="18"/>
              </w:rPr>
              <w:t>36</w:t>
            </w:r>
          </w:p>
          <w:p w14:paraId="4F3E18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其中理论32，实践4</w:t>
            </w:r>
          </w:p>
        </w:tc>
        <w:tc>
          <w:tcPr>
            <w:tcW w:w="2113" w:type="dxa"/>
            <w:vAlign w:val="center"/>
          </w:tcPr>
          <w:p w14:paraId="531874D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课程的学习，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2002" w:type="dxa"/>
            <w:vAlign w:val="center"/>
          </w:tcPr>
          <w:p w14:paraId="531F1CA0">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1.课程的教学内容主要包括中国共产党把马克思主义基本原理同中国具体实际相结合产生的马克思主义中国化的两大理论成果。</w:t>
            </w:r>
          </w:p>
          <w:p w14:paraId="05D6175B">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14:paraId="5EF1753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14:paraId="3230809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tc>
      </w:tr>
      <w:tr w14:paraId="0CF3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4725830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p>
        </w:tc>
        <w:tc>
          <w:tcPr>
            <w:tcW w:w="1858" w:type="dxa"/>
            <w:vAlign w:val="center"/>
          </w:tcPr>
          <w:p w14:paraId="3086B44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思想道德与法治</w:t>
            </w:r>
          </w:p>
        </w:tc>
        <w:tc>
          <w:tcPr>
            <w:tcW w:w="592" w:type="dxa"/>
            <w:vAlign w:val="center"/>
          </w:tcPr>
          <w:p w14:paraId="70A20A4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3.0</w:t>
            </w:r>
          </w:p>
        </w:tc>
        <w:tc>
          <w:tcPr>
            <w:tcW w:w="1176" w:type="dxa"/>
            <w:vAlign w:val="center"/>
          </w:tcPr>
          <w:p w14:paraId="231C4B75">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58</w:t>
            </w:r>
          </w:p>
          <w:p w14:paraId="61A363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其中理论50，实践8</w:t>
            </w:r>
          </w:p>
        </w:tc>
        <w:tc>
          <w:tcPr>
            <w:tcW w:w="2113" w:type="dxa"/>
            <w:vAlign w:val="center"/>
          </w:tcPr>
          <w:p w14:paraId="7DA29AB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课程的学习，帮助学生树立正确的人生观、价值观、道德观、法治观，筑牢理想信念之基，培育和践行社会主义核心价值观，传承中华传统美德，弘扬中国精神，尊重和维护宪法法律权威，提升思想道德素质和法治素养。</w:t>
            </w:r>
          </w:p>
        </w:tc>
        <w:tc>
          <w:tcPr>
            <w:tcW w:w="2002" w:type="dxa"/>
            <w:vAlign w:val="center"/>
          </w:tcPr>
          <w:p w14:paraId="0EA2A167">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1.课程的教学内容主要包括马克思主义的人生观、价值观、道德观、法治观，社会主义核心价值观与社会主义法治建设的关系。</w:t>
            </w:r>
          </w:p>
          <w:p w14:paraId="5A85F834">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14:paraId="6AF8575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14:paraId="645546E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tc>
      </w:tr>
      <w:tr w14:paraId="2466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019B3F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4</w:t>
            </w:r>
          </w:p>
        </w:tc>
        <w:tc>
          <w:tcPr>
            <w:tcW w:w="1858" w:type="dxa"/>
            <w:vAlign w:val="center"/>
          </w:tcPr>
          <w:p w14:paraId="71EC87B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形势与政策</w:t>
            </w:r>
          </w:p>
        </w:tc>
        <w:tc>
          <w:tcPr>
            <w:tcW w:w="592" w:type="dxa"/>
            <w:vAlign w:val="center"/>
          </w:tcPr>
          <w:p w14:paraId="5374069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1.0</w:t>
            </w:r>
          </w:p>
        </w:tc>
        <w:tc>
          <w:tcPr>
            <w:tcW w:w="1176" w:type="dxa"/>
            <w:vAlign w:val="center"/>
          </w:tcPr>
          <w:p w14:paraId="2F35D8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40</w:t>
            </w:r>
          </w:p>
        </w:tc>
        <w:tc>
          <w:tcPr>
            <w:tcW w:w="2113" w:type="dxa"/>
            <w:vAlign w:val="center"/>
          </w:tcPr>
          <w:p w14:paraId="79932C4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课程的学习，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tc>
        <w:tc>
          <w:tcPr>
            <w:tcW w:w="2002" w:type="dxa"/>
            <w:vAlign w:val="center"/>
          </w:tcPr>
          <w:p w14:paraId="59F92348">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1.课程的教学内容主要包括党的理论创新最新成果，新时代坚持和发展中国特色社会主义的生动实践，马克思主义形势观政策管、党的陆续方针政策、基本国情、国内外形势及其热点难点问题。</w:t>
            </w:r>
          </w:p>
          <w:p w14:paraId="4E4408EC">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14:paraId="206EABC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14:paraId="0D5A6DD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纯理论课</w:t>
            </w:r>
          </w:p>
        </w:tc>
      </w:tr>
      <w:tr w14:paraId="6B83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26C2346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5</w:t>
            </w:r>
          </w:p>
        </w:tc>
        <w:tc>
          <w:tcPr>
            <w:tcW w:w="1858" w:type="dxa"/>
            <w:vAlign w:val="center"/>
          </w:tcPr>
          <w:p w14:paraId="3D6A72D6">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马克思主义中国化进程与青年使命担当</w:t>
            </w:r>
          </w:p>
        </w:tc>
        <w:tc>
          <w:tcPr>
            <w:tcW w:w="592" w:type="dxa"/>
            <w:vAlign w:val="center"/>
          </w:tcPr>
          <w:p w14:paraId="37560DB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1.0</w:t>
            </w:r>
          </w:p>
        </w:tc>
        <w:tc>
          <w:tcPr>
            <w:tcW w:w="1176" w:type="dxa"/>
            <w:vAlign w:val="center"/>
          </w:tcPr>
          <w:p w14:paraId="503BFA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20</w:t>
            </w:r>
          </w:p>
        </w:tc>
        <w:tc>
          <w:tcPr>
            <w:tcW w:w="2113" w:type="dxa"/>
            <w:vAlign w:val="center"/>
          </w:tcPr>
          <w:p w14:paraId="140ABFA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通过课程的学习，帮助学生认清马克思主义在不同时期的具体形态；强化学生使命担当；深化对习近平新时代中国特色社会主义思想理解。</w:t>
            </w:r>
          </w:p>
        </w:tc>
        <w:tc>
          <w:tcPr>
            <w:tcW w:w="2002" w:type="dxa"/>
            <w:vAlign w:val="center"/>
          </w:tcPr>
          <w:p w14:paraId="5EE0940D">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19世纪科学社会主义的创立与青年使命；五四精神与当代青年使命；新中国建立、社会主义建设与青年使命；改革开放时代与青年使命；中国特色社会主义新时代与时代新人；中国共产党领导与青年的政治使命等。</w:t>
            </w:r>
          </w:p>
          <w:p w14:paraId="0A74CED3">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14:paraId="0C1E5C0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14:paraId="542B70A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纯理论课</w:t>
            </w:r>
          </w:p>
        </w:tc>
      </w:tr>
      <w:tr w14:paraId="3473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05DF8B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6</w:t>
            </w:r>
          </w:p>
        </w:tc>
        <w:tc>
          <w:tcPr>
            <w:tcW w:w="1858" w:type="dxa"/>
            <w:vAlign w:val="center"/>
          </w:tcPr>
          <w:p w14:paraId="6FA6A0F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中国共产党简史</w:t>
            </w:r>
          </w:p>
        </w:tc>
        <w:tc>
          <w:tcPr>
            <w:tcW w:w="592" w:type="dxa"/>
            <w:vAlign w:val="center"/>
          </w:tcPr>
          <w:p w14:paraId="4E517A9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1.0</w:t>
            </w:r>
          </w:p>
        </w:tc>
        <w:tc>
          <w:tcPr>
            <w:tcW w:w="1176" w:type="dxa"/>
            <w:vAlign w:val="center"/>
          </w:tcPr>
          <w:p w14:paraId="6B1496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16</w:t>
            </w:r>
          </w:p>
        </w:tc>
        <w:tc>
          <w:tcPr>
            <w:tcW w:w="2113" w:type="dxa"/>
            <w:vAlign w:val="center"/>
          </w:tcPr>
          <w:p w14:paraId="6AE0CC1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课程的学习，帮助学生从党的非凡历程中领会马克思主义是如何深刻改变中国、改变世界的，感悟马克思主义的真理力量和实践力量，深化对中国化马克思主义既一脉相承又与时俱进的理论品质的认识，认识党和国家事业取得历史性成就、发生历史性变革的进程，深刻学习领会新时代党的创新理论，坚持不懈用党的创新理论最新成果武装头脑、指导实践、推动工作，坚定“四个自信”、增强“四个意识”，做到“两个维护”。</w:t>
            </w:r>
          </w:p>
        </w:tc>
        <w:tc>
          <w:tcPr>
            <w:tcW w:w="2002" w:type="dxa"/>
            <w:vAlign w:val="center"/>
          </w:tcPr>
          <w:p w14:paraId="08D4ACAA">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1.课程的教学内容主要围绕介绍中国共产党的成立至中华人民共和国成立时期，党的奋斗历程和伟大成就，用党的光荣传统和优良作风坚定信念、凝聚力量，用党的实践创造和历史经验启迪智慧、砥砺品格。</w:t>
            </w:r>
          </w:p>
          <w:p w14:paraId="0219779F">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14:paraId="7E7583C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14:paraId="4993223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纯理论课</w:t>
            </w:r>
          </w:p>
        </w:tc>
      </w:tr>
      <w:tr w14:paraId="2858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76DA30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7</w:t>
            </w:r>
          </w:p>
        </w:tc>
        <w:tc>
          <w:tcPr>
            <w:tcW w:w="1858" w:type="dxa"/>
            <w:vAlign w:val="center"/>
          </w:tcPr>
          <w:p w14:paraId="7F50846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军事理论</w:t>
            </w:r>
          </w:p>
        </w:tc>
        <w:tc>
          <w:tcPr>
            <w:tcW w:w="592" w:type="dxa"/>
            <w:vAlign w:val="center"/>
          </w:tcPr>
          <w:p w14:paraId="6173B2A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2.0</w:t>
            </w:r>
          </w:p>
        </w:tc>
        <w:tc>
          <w:tcPr>
            <w:tcW w:w="1176" w:type="dxa"/>
            <w:vAlign w:val="center"/>
          </w:tcPr>
          <w:p w14:paraId="2FE69A0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36</w:t>
            </w:r>
          </w:p>
        </w:tc>
        <w:tc>
          <w:tcPr>
            <w:tcW w:w="2113" w:type="dxa"/>
            <w:vAlign w:val="center"/>
          </w:tcPr>
          <w:p w14:paraId="5884B07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通过军事课教学，让学生了解掌握军事基础知识和基本军事技能，增强国防观念、国家安全意识和忧患危机意识，弘扬爱国主义精神、传承红色基因、提高学生综合国防素质。</w:t>
            </w:r>
          </w:p>
        </w:tc>
        <w:tc>
          <w:tcPr>
            <w:tcW w:w="2002" w:type="dxa"/>
            <w:vAlign w:val="center"/>
          </w:tcPr>
          <w:p w14:paraId="3864E7A6">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1.课程的教学内容主要包括国防概述、国防法规、国防建设、国家安全形势等。</w:t>
            </w:r>
          </w:p>
          <w:p w14:paraId="57786C01">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14:paraId="4F9E419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14:paraId="5DFBA5C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纯理论课</w:t>
            </w:r>
          </w:p>
        </w:tc>
      </w:tr>
      <w:tr w14:paraId="3E40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3D7A9D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8</w:t>
            </w:r>
          </w:p>
        </w:tc>
        <w:tc>
          <w:tcPr>
            <w:tcW w:w="1858" w:type="dxa"/>
            <w:vAlign w:val="center"/>
          </w:tcPr>
          <w:p w14:paraId="2F101FF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军事技能</w:t>
            </w:r>
          </w:p>
        </w:tc>
        <w:tc>
          <w:tcPr>
            <w:tcW w:w="592" w:type="dxa"/>
            <w:vAlign w:val="center"/>
          </w:tcPr>
          <w:p w14:paraId="776A848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2.0</w:t>
            </w:r>
          </w:p>
        </w:tc>
        <w:tc>
          <w:tcPr>
            <w:tcW w:w="1176" w:type="dxa"/>
            <w:vAlign w:val="center"/>
          </w:tcPr>
          <w:p w14:paraId="6333BE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112</w:t>
            </w:r>
          </w:p>
        </w:tc>
        <w:tc>
          <w:tcPr>
            <w:tcW w:w="2113" w:type="dxa"/>
            <w:vAlign w:val="center"/>
          </w:tcPr>
          <w:p w14:paraId="5F9E5C9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通过基本的军事训练，培养学生服从协作、刻苦坚强的精神和良好的组织性、纪律性以及集体观念。通过入学教育使学生了解学院的规章制度，了解专业背景和所学专业。</w:t>
            </w:r>
          </w:p>
        </w:tc>
        <w:tc>
          <w:tcPr>
            <w:tcW w:w="2002" w:type="dxa"/>
            <w:vAlign w:val="center"/>
          </w:tcPr>
          <w:p w14:paraId="7CDD8A28">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1.课程的教学内容包括军事技能训练、入学教育及专业认知等。</w:t>
            </w:r>
          </w:p>
          <w:p w14:paraId="67152B72">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2.军事技能训练原则上在新生报到后集中进行。</w:t>
            </w:r>
          </w:p>
          <w:p w14:paraId="51ADC37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default" w:asciiTheme="minorEastAsia" w:hAnsiTheme="minorEastAsia"/>
                <w:sz w:val="18"/>
                <w:szCs w:val="18"/>
              </w:rPr>
              <w:t>3.</w:t>
            </w:r>
            <w:r>
              <w:rPr>
                <w:rFonts w:hint="eastAsia" w:asciiTheme="minorEastAsia" w:hAnsiTheme="minorEastAsia"/>
                <w:sz w:val="18"/>
                <w:szCs w:val="18"/>
              </w:rPr>
              <w:t>军事技能训练考核分项目进行考核并严格考勤考核制度，实施过程化评价。军训教官由承训部队选派。</w:t>
            </w:r>
          </w:p>
        </w:tc>
        <w:tc>
          <w:tcPr>
            <w:tcW w:w="580" w:type="dxa"/>
            <w:vAlign w:val="center"/>
          </w:tcPr>
          <w:p w14:paraId="1D62062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纯实践课</w:t>
            </w:r>
          </w:p>
        </w:tc>
      </w:tr>
      <w:tr w14:paraId="72F9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04FA29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9</w:t>
            </w:r>
          </w:p>
        </w:tc>
        <w:tc>
          <w:tcPr>
            <w:tcW w:w="1858" w:type="dxa"/>
            <w:vAlign w:val="center"/>
          </w:tcPr>
          <w:p w14:paraId="16A2E10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大学生心理健康教育</w:t>
            </w:r>
          </w:p>
        </w:tc>
        <w:tc>
          <w:tcPr>
            <w:tcW w:w="592" w:type="dxa"/>
            <w:vAlign w:val="center"/>
          </w:tcPr>
          <w:p w14:paraId="1E34CA17">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2.0</w:t>
            </w:r>
          </w:p>
        </w:tc>
        <w:tc>
          <w:tcPr>
            <w:tcW w:w="1176" w:type="dxa"/>
            <w:vAlign w:val="center"/>
          </w:tcPr>
          <w:p w14:paraId="0448870A">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p w14:paraId="0868AD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其中理论8，实践28</w:t>
            </w:r>
          </w:p>
        </w:tc>
        <w:tc>
          <w:tcPr>
            <w:tcW w:w="2113" w:type="dxa"/>
            <w:vAlign w:val="center"/>
          </w:tcPr>
          <w:p w14:paraId="75B1A1FB">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通过课程的学习，提高大学生的心理素质，充分开发大学生的潜能，培养大学生乐观向上的心理品质，促进大学生人格的健全发展。</w:t>
            </w:r>
          </w:p>
        </w:tc>
        <w:tc>
          <w:tcPr>
            <w:tcW w:w="2002" w:type="dxa"/>
            <w:vAlign w:val="center"/>
          </w:tcPr>
          <w:p w14:paraId="7C828859">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1.课程的教学内容主要包括大学生心理健康的标准，保持心理健康的途径，如何适应新的环境，如何处理学业困境，如何完善自我并实现自己的人生理想和目标，以及心理障碍的有关概念及求助途径等。</w:t>
            </w:r>
          </w:p>
          <w:p w14:paraId="3BF4450C">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14:paraId="1C5CDA2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14:paraId="30646AC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tc>
      </w:tr>
      <w:tr w14:paraId="1283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10B2E89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10</w:t>
            </w:r>
          </w:p>
        </w:tc>
        <w:tc>
          <w:tcPr>
            <w:tcW w:w="1858" w:type="dxa"/>
            <w:vAlign w:val="center"/>
          </w:tcPr>
          <w:p w14:paraId="77FA903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大学生职业发展与就业指导</w:t>
            </w:r>
          </w:p>
        </w:tc>
        <w:tc>
          <w:tcPr>
            <w:tcW w:w="592" w:type="dxa"/>
            <w:vAlign w:val="center"/>
          </w:tcPr>
          <w:p w14:paraId="270A046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2.0</w:t>
            </w:r>
          </w:p>
        </w:tc>
        <w:tc>
          <w:tcPr>
            <w:tcW w:w="1176" w:type="dxa"/>
            <w:vAlign w:val="center"/>
          </w:tcPr>
          <w:p w14:paraId="1670550B">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p w14:paraId="090453E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其中理论24，实践12</w:t>
            </w:r>
          </w:p>
        </w:tc>
        <w:tc>
          <w:tcPr>
            <w:tcW w:w="2113" w:type="dxa"/>
            <w:vAlign w:val="center"/>
          </w:tcPr>
          <w:p w14:paraId="3661A61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通过课程的学习，使学生正确了解职业生涯规划的重要意义，掌握系统职业生涯规划的方式方法，能够认清自我、解读职业、准确定位、锁定目标对职业发展进行正确规划。</w:t>
            </w:r>
          </w:p>
        </w:tc>
        <w:tc>
          <w:tcPr>
            <w:tcW w:w="2002" w:type="dxa"/>
            <w:vAlign w:val="center"/>
          </w:tcPr>
          <w:p w14:paraId="549FDEF1">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1.课程的教学内容主要包括职业生涯规划相关理论、职业生涯规划方式方法、自我认知、职业认知等。</w:t>
            </w:r>
          </w:p>
          <w:p w14:paraId="7167F46A">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14:paraId="292295DC">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14:paraId="066E597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tc>
      </w:tr>
      <w:tr w14:paraId="4E59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2E8D30D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11</w:t>
            </w:r>
          </w:p>
        </w:tc>
        <w:tc>
          <w:tcPr>
            <w:tcW w:w="1858" w:type="dxa"/>
            <w:vAlign w:val="center"/>
          </w:tcPr>
          <w:p w14:paraId="784F7D4E">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sz w:val="18"/>
                <w:szCs w:val="18"/>
              </w:rPr>
            </w:pPr>
            <w:r>
              <w:rPr>
                <w:rFonts w:hint="eastAsia" w:asciiTheme="minorEastAsia" w:hAnsiTheme="minorEastAsia"/>
                <w:sz w:val="18"/>
                <w:szCs w:val="18"/>
              </w:rPr>
              <w:t>创新创业基础理论与方法</w:t>
            </w:r>
          </w:p>
        </w:tc>
        <w:tc>
          <w:tcPr>
            <w:tcW w:w="592" w:type="dxa"/>
            <w:vAlign w:val="center"/>
          </w:tcPr>
          <w:p w14:paraId="067CF299">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sz w:val="18"/>
                <w:szCs w:val="18"/>
              </w:rPr>
            </w:pPr>
            <w:r>
              <w:rPr>
                <w:rFonts w:hint="eastAsia" w:ascii="宋体" w:hAnsi="宋体" w:eastAsia="宋体" w:cs="宋体"/>
                <w:kern w:val="2"/>
                <w:sz w:val="18"/>
                <w:szCs w:val="18"/>
                <w:lang w:val="en-US" w:eastAsia="zh-CN" w:bidi="ar"/>
              </w:rPr>
              <w:t>2.0</w:t>
            </w:r>
          </w:p>
        </w:tc>
        <w:tc>
          <w:tcPr>
            <w:tcW w:w="1176" w:type="dxa"/>
            <w:vAlign w:val="center"/>
          </w:tcPr>
          <w:p w14:paraId="5F5CD35D">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36</w:t>
            </w:r>
          </w:p>
          <w:p w14:paraId="61C7FF29">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其中理论</w:t>
            </w:r>
          </w:p>
          <w:p w14:paraId="1981E54A">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18"/>
                <w:szCs w:val="18"/>
              </w:rPr>
            </w:pPr>
            <w:r>
              <w:rPr>
                <w:rFonts w:hint="eastAsia" w:ascii="宋体" w:hAnsi="宋体" w:eastAsia="宋体" w:cs="宋体"/>
                <w:kern w:val="2"/>
                <w:sz w:val="18"/>
                <w:szCs w:val="18"/>
                <w:lang w:val="en-US" w:eastAsia="zh-CN" w:bidi="ar"/>
              </w:rPr>
              <w:t>18，实践 18</w:t>
            </w:r>
          </w:p>
        </w:tc>
        <w:tc>
          <w:tcPr>
            <w:tcW w:w="2113" w:type="dxa"/>
            <w:vAlign w:val="center"/>
          </w:tcPr>
          <w:p w14:paraId="5D9B0840">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掌握创新创业基本常识，</w:t>
            </w:r>
          </w:p>
          <w:p w14:paraId="648049D3">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了解创新创业的各类知</w:t>
            </w:r>
          </w:p>
          <w:p w14:paraId="7AEB4816">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识类别，学会制定创新创</w:t>
            </w:r>
          </w:p>
          <w:p w14:paraId="08CA95EF">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业策划书，完成基础创新</w:t>
            </w:r>
          </w:p>
          <w:p w14:paraId="4444259C">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创业训练。培育学生创新</w:t>
            </w:r>
          </w:p>
          <w:p w14:paraId="424527A9">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思维，激发学生会创新意</w:t>
            </w:r>
          </w:p>
          <w:p w14:paraId="36770094">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识，培养学生创业精神，</w:t>
            </w:r>
          </w:p>
          <w:p w14:paraId="75CE5B7E">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sz w:val="18"/>
                <w:szCs w:val="18"/>
              </w:rPr>
            </w:pPr>
            <w:r>
              <w:rPr>
                <w:rFonts w:hint="eastAsia" w:ascii="宋体" w:hAnsi="宋体" w:eastAsia="宋体" w:cs="宋体"/>
                <w:kern w:val="2"/>
                <w:sz w:val="18"/>
                <w:szCs w:val="18"/>
                <w:lang w:val="en-US" w:eastAsia="zh-CN" w:bidi="ar"/>
              </w:rPr>
              <w:t>锻炼学生创业能力。</w:t>
            </w:r>
          </w:p>
        </w:tc>
        <w:tc>
          <w:tcPr>
            <w:tcW w:w="2002" w:type="dxa"/>
            <w:vAlign w:val="center"/>
          </w:tcPr>
          <w:p w14:paraId="68575B08">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1.课程的教学内容主</w:t>
            </w:r>
          </w:p>
          <w:p w14:paraId="4DDDF42E">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要包括大学生创新的</w:t>
            </w:r>
          </w:p>
          <w:p w14:paraId="6B2BA90F">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理论基础，大学生创新</w:t>
            </w:r>
          </w:p>
          <w:p w14:paraId="64C5CF1B">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的实践方法，创业机会</w:t>
            </w:r>
          </w:p>
          <w:p w14:paraId="5E9946D9">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识别与项目选择，创业</w:t>
            </w:r>
          </w:p>
          <w:p w14:paraId="568A2C5D">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团队组建与创新资源</w:t>
            </w:r>
          </w:p>
          <w:p w14:paraId="07102138">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整合等。</w:t>
            </w:r>
          </w:p>
          <w:p w14:paraId="0D10575B">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2.课程教学采用实际</w:t>
            </w:r>
          </w:p>
          <w:p w14:paraId="260E41C9">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案例和体验式的教学</w:t>
            </w:r>
          </w:p>
          <w:p w14:paraId="24A1E176">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方式。</w:t>
            </w:r>
          </w:p>
          <w:p w14:paraId="0DC72D90">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sz w:val="18"/>
                <w:szCs w:val="18"/>
              </w:rPr>
            </w:pPr>
            <w:r>
              <w:rPr>
                <w:rFonts w:hint="eastAsia" w:ascii="宋体" w:hAnsi="宋体" w:eastAsia="宋体" w:cs="宋体"/>
                <w:kern w:val="2"/>
                <w:sz w:val="18"/>
                <w:szCs w:val="18"/>
                <w:lang w:val="en-US" w:eastAsia="zh-CN" w:bidi="ar"/>
              </w:rPr>
              <w:t>3.课程考核方式为考查。</w:t>
            </w:r>
          </w:p>
        </w:tc>
        <w:tc>
          <w:tcPr>
            <w:tcW w:w="580" w:type="dxa"/>
            <w:vAlign w:val="center"/>
          </w:tcPr>
          <w:p w14:paraId="4F01AFC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tc>
      </w:tr>
      <w:tr w14:paraId="0803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0BBFD5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12</w:t>
            </w:r>
          </w:p>
        </w:tc>
        <w:tc>
          <w:tcPr>
            <w:tcW w:w="1858" w:type="dxa"/>
            <w:vAlign w:val="center"/>
          </w:tcPr>
          <w:p w14:paraId="618C61B6">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sz w:val="18"/>
                <w:szCs w:val="18"/>
              </w:rPr>
            </w:pPr>
            <w:r>
              <w:rPr>
                <w:rFonts w:hint="eastAsia" w:ascii="宋体" w:hAnsi="宋体" w:eastAsia="宋体" w:cs="宋体"/>
                <w:kern w:val="2"/>
                <w:sz w:val="18"/>
                <w:szCs w:val="18"/>
                <w:lang w:val="en-US" w:eastAsia="zh-CN" w:bidi="ar"/>
              </w:rPr>
              <w:t>创新创业实践</w:t>
            </w:r>
          </w:p>
        </w:tc>
        <w:tc>
          <w:tcPr>
            <w:tcW w:w="592" w:type="dxa"/>
            <w:vAlign w:val="center"/>
          </w:tcPr>
          <w:p w14:paraId="52317FAF">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sz w:val="18"/>
                <w:szCs w:val="18"/>
              </w:rPr>
            </w:pPr>
            <w:r>
              <w:rPr>
                <w:rFonts w:hint="eastAsia" w:ascii="宋体" w:hAnsi="宋体" w:eastAsia="宋体" w:cs="宋体"/>
                <w:kern w:val="2"/>
                <w:sz w:val="18"/>
                <w:szCs w:val="18"/>
                <w:lang w:val="en-US" w:eastAsia="zh-CN" w:bidi="ar"/>
              </w:rPr>
              <w:t>1.0</w:t>
            </w:r>
          </w:p>
        </w:tc>
        <w:tc>
          <w:tcPr>
            <w:tcW w:w="1176" w:type="dxa"/>
            <w:vAlign w:val="center"/>
          </w:tcPr>
          <w:p w14:paraId="63E62D13">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w:t>
            </w:r>
          </w:p>
          <w:p w14:paraId="716EC8F3">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其中理论</w:t>
            </w:r>
          </w:p>
          <w:p w14:paraId="7C2266CD">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18"/>
                <w:szCs w:val="18"/>
              </w:rPr>
            </w:pPr>
            <w:r>
              <w:rPr>
                <w:rFonts w:hint="eastAsia" w:ascii="宋体" w:hAnsi="宋体" w:eastAsia="宋体" w:cs="宋体"/>
                <w:kern w:val="2"/>
                <w:sz w:val="18"/>
                <w:szCs w:val="18"/>
                <w:lang w:val="en-US" w:eastAsia="zh-CN" w:bidi="ar"/>
              </w:rPr>
              <w:t>12，实践 8</w:t>
            </w:r>
          </w:p>
        </w:tc>
        <w:tc>
          <w:tcPr>
            <w:tcW w:w="2113" w:type="dxa"/>
            <w:vAlign w:val="center"/>
          </w:tcPr>
          <w:p w14:paraId="5E8F7846">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通过对大学生创新创业</w:t>
            </w:r>
          </w:p>
          <w:p w14:paraId="17C6CF97">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竞赛的解析和模拟训练，</w:t>
            </w:r>
          </w:p>
          <w:p w14:paraId="2FE38EF4">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培养学生多学科思维融</w:t>
            </w:r>
          </w:p>
          <w:p w14:paraId="348EE382">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合、产业技术与学科理论</w:t>
            </w:r>
          </w:p>
          <w:p w14:paraId="44676163">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融合、多学科项目实践融</w:t>
            </w:r>
          </w:p>
          <w:p w14:paraId="1288B0B8">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合，跨专业能力融合，加</w:t>
            </w:r>
          </w:p>
          <w:p w14:paraId="44506187">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强学生的创新创业意识，</w:t>
            </w:r>
          </w:p>
          <w:p w14:paraId="0AF8FC73">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能够结合专业核心知识</w:t>
            </w:r>
          </w:p>
          <w:p w14:paraId="08E5038A">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开展创新研究、产品设计</w:t>
            </w:r>
          </w:p>
          <w:p w14:paraId="3B1F9A74">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与成果转化，提高学生深</w:t>
            </w:r>
          </w:p>
          <w:p w14:paraId="69C7E4A8">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度分析、大胆质疑、善于</w:t>
            </w:r>
          </w:p>
          <w:p w14:paraId="3E1410C2">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创新、勇于实践的精神和</w:t>
            </w:r>
          </w:p>
          <w:p w14:paraId="5AC3BDDF">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sz w:val="18"/>
                <w:szCs w:val="18"/>
              </w:rPr>
            </w:pPr>
            <w:r>
              <w:rPr>
                <w:rFonts w:hint="eastAsia" w:ascii="宋体" w:hAnsi="宋体" w:eastAsia="宋体" w:cs="宋体"/>
                <w:kern w:val="2"/>
                <w:sz w:val="18"/>
                <w:szCs w:val="18"/>
                <w:lang w:val="en-US" w:eastAsia="zh-CN" w:bidi="ar"/>
              </w:rPr>
              <w:t>能力。</w:t>
            </w:r>
          </w:p>
        </w:tc>
        <w:tc>
          <w:tcPr>
            <w:tcW w:w="2002" w:type="dxa"/>
            <w:vAlign w:val="center"/>
          </w:tcPr>
          <w:p w14:paraId="2BCF1657">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1.课程的教学内容主</w:t>
            </w:r>
          </w:p>
          <w:p w14:paraId="69EC0CE8">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要包括大学生创新创</w:t>
            </w:r>
          </w:p>
          <w:p w14:paraId="0C6A765A">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业主要赛事概况及团</w:t>
            </w:r>
          </w:p>
          <w:p w14:paraId="69C037E0">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队组建，中国国际“互</w:t>
            </w:r>
          </w:p>
          <w:p w14:paraId="24BFE01A">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联网+”大学生创新创</w:t>
            </w:r>
          </w:p>
          <w:p w14:paraId="0E39A04C">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业大赛解析，项目的路</w:t>
            </w:r>
          </w:p>
          <w:p w14:paraId="71647D67">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演训练等。</w:t>
            </w:r>
          </w:p>
          <w:p w14:paraId="7450452A">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2.课程教学依托“互联</w:t>
            </w:r>
          </w:p>
          <w:p w14:paraId="0AA493A9">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网+”等创新创业竞赛，</w:t>
            </w:r>
          </w:p>
          <w:p w14:paraId="156E6C94">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建立项目化实践课程</w:t>
            </w:r>
          </w:p>
          <w:p w14:paraId="610A2404">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教学标准，将课程教学</w:t>
            </w:r>
          </w:p>
          <w:p w14:paraId="30FEE2C6">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与项目指导、竞赛指导</w:t>
            </w:r>
          </w:p>
          <w:p w14:paraId="791CA353">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进行绑定，实现学生学</w:t>
            </w:r>
          </w:p>
          <w:p w14:paraId="5916875E">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习、实践、竞赛“三位</w:t>
            </w:r>
          </w:p>
          <w:p w14:paraId="6D376816">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一体”学习。</w:t>
            </w:r>
          </w:p>
          <w:p w14:paraId="5FA23E9B">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sz w:val="18"/>
                <w:szCs w:val="18"/>
              </w:rPr>
            </w:pPr>
            <w:r>
              <w:rPr>
                <w:rFonts w:hint="eastAsia" w:ascii="宋体" w:hAnsi="宋体" w:eastAsia="宋体" w:cs="宋体"/>
                <w:kern w:val="2"/>
                <w:sz w:val="18"/>
                <w:szCs w:val="18"/>
                <w:lang w:val="en-US" w:eastAsia="zh-CN" w:bidi="ar"/>
              </w:rPr>
              <w:t>3.课程考核方式为考查。</w:t>
            </w:r>
          </w:p>
        </w:tc>
        <w:tc>
          <w:tcPr>
            <w:tcW w:w="580" w:type="dxa"/>
            <w:vAlign w:val="center"/>
          </w:tcPr>
          <w:p w14:paraId="48CAD37D">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tc>
      </w:tr>
      <w:tr w14:paraId="3947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65EB111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13</w:t>
            </w:r>
          </w:p>
        </w:tc>
        <w:tc>
          <w:tcPr>
            <w:tcW w:w="1858" w:type="dxa"/>
            <w:vAlign w:val="center"/>
          </w:tcPr>
          <w:p w14:paraId="7594835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体育</w:t>
            </w:r>
          </w:p>
        </w:tc>
        <w:tc>
          <w:tcPr>
            <w:tcW w:w="592" w:type="dxa"/>
            <w:vAlign w:val="center"/>
          </w:tcPr>
          <w:p w14:paraId="1165E6B2">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5.0</w:t>
            </w:r>
          </w:p>
        </w:tc>
        <w:tc>
          <w:tcPr>
            <w:tcW w:w="1176" w:type="dxa"/>
            <w:vAlign w:val="center"/>
          </w:tcPr>
          <w:p w14:paraId="6484F915">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108</w:t>
            </w:r>
          </w:p>
          <w:p w14:paraId="04ECEA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其中理论8，实践100</w:t>
            </w:r>
          </w:p>
        </w:tc>
        <w:tc>
          <w:tcPr>
            <w:tcW w:w="2113" w:type="dxa"/>
            <w:vAlign w:val="center"/>
          </w:tcPr>
          <w:p w14:paraId="770C8CD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通过课程的学习，培养学生积极参与体育健身的意识，掌握适合个人特点的运动健身技能，使学生成为道德健康、精神健康、身体健康和有良好社会适应能力的合格人才。</w:t>
            </w:r>
          </w:p>
        </w:tc>
        <w:tc>
          <w:tcPr>
            <w:tcW w:w="2002" w:type="dxa"/>
            <w:vAlign w:val="center"/>
          </w:tcPr>
          <w:p w14:paraId="25185102">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1.课程的教学内容主要包括体育健身的基本理论知识，运动健身的基本技术、技能和方法等。</w:t>
            </w:r>
          </w:p>
          <w:p w14:paraId="4F2A3D6F">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2.课程教学以实践教学为主，鼓励学生课后进行体育活动。</w:t>
            </w:r>
          </w:p>
          <w:p w14:paraId="35DDA53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14:paraId="57F2703A">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tc>
      </w:tr>
      <w:tr w14:paraId="4E1E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6F40A8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14</w:t>
            </w:r>
          </w:p>
        </w:tc>
        <w:tc>
          <w:tcPr>
            <w:tcW w:w="1858" w:type="dxa"/>
            <w:vAlign w:val="center"/>
          </w:tcPr>
          <w:p w14:paraId="492946F1">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劳动教育</w:t>
            </w:r>
          </w:p>
        </w:tc>
        <w:tc>
          <w:tcPr>
            <w:tcW w:w="592" w:type="dxa"/>
            <w:vAlign w:val="center"/>
          </w:tcPr>
          <w:p w14:paraId="4324B9B4">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2.0</w:t>
            </w:r>
          </w:p>
        </w:tc>
        <w:tc>
          <w:tcPr>
            <w:tcW w:w="1176" w:type="dxa"/>
            <w:vAlign w:val="center"/>
          </w:tcPr>
          <w:p w14:paraId="56DDCFF9">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p w14:paraId="51CCAEC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sz w:val="18"/>
                <w:szCs w:val="18"/>
              </w:rPr>
              <w:t>其中理论4，实践32</w:t>
            </w:r>
          </w:p>
        </w:tc>
        <w:tc>
          <w:tcPr>
            <w:tcW w:w="2113" w:type="dxa"/>
            <w:vAlign w:val="center"/>
          </w:tcPr>
          <w:p w14:paraId="1B8D8F0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通过课程的学习，帮助学生树立正确的劳动观念，培育积极的劳动精神，正确认识劳动对于人类和社会发展的重要性，养成良好的劳动品质和习惯，积极参与各种劳动，不断增强劳动本领和提升劳动技能。</w:t>
            </w:r>
          </w:p>
        </w:tc>
        <w:tc>
          <w:tcPr>
            <w:tcW w:w="2002" w:type="dxa"/>
            <w:vAlign w:val="center"/>
          </w:tcPr>
          <w:p w14:paraId="0E45FC9B">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1.课程的教学内容主要围绕劳动精神、劳模精神、工匠精神、劳动安全和劳动法规等方面，强化马克思主义劳动观教育、劳动法规与政策教育、劳动锻炼要求。</w:t>
            </w:r>
          </w:p>
          <w:p w14:paraId="6CBF7322">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2.课程教学以实践教学为主，鼓励学生积极参加各类劳动教育活动。</w:t>
            </w:r>
          </w:p>
          <w:p w14:paraId="1D0EC87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14:paraId="63504448">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18"/>
                <w:szCs w:val="18"/>
              </w:rPr>
            </w:pPr>
          </w:p>
        </w:tc>
      </w:tr>
    </w:tbl>
    <w:p w14:paraId="22514645">
      <w:pPr>
        <w:keepNext/>
        <w:keepLines/>
        <w:spacing w:before="234" w:beforeLines="75" w:after="234" w:afterLines="75" w:line="280" w:lineRule="exact"/>
        <w:ind w:left="420" w:leftChars="200"/>
        <w:outlineLvl w:val="2"/>
        <w:rPr>
          <w:rFonts w:ascii="仿宋" w:hAnsi="仿宋" w:eastAsia="仿宋"/>
          <w:b/>
          <w:bCs/>
          <w:szCs w:val="32"/>
        </w:rPr>
      </w:pPr>
      <w:bookmarkStart w:id="11" w:name="_Toc89793274"/>
      <w:r>
        <w:rPr>
          <w:rFonts w:hint="eastAsia" w:ascii="仿宋" w:hAnsi="仿宋" w:eastAsia="仿宋"/>
          <w:b/>
          <w:bCs/>
          <w:szCs w:val="32"/>
        </w:rPr>
        <w:t>2.公共选修课</w:t>
      </w:r>
      <w:bookmarkEnd w:id="11"/>
    </w:p>
    <w:p w14:paraId="2E86C0A1">
      <w:pPr>
        <w:ind w:firstLine="420" w:firstLineChars="200"/>
      </w:pPr>
      <w:r>
        <w:rPr>
          <w:rFonts w:hint="eastAsia"/>
        </w:rPr>
        <w:t>本专业需完成的公共选修课见表</w:t>
      </w:r>
      <w:r>
        <w:t>3</w:t>
      </w:r>
      <w:r>
        <w:rPr>
          <w:rFonts w:hint="eastAsia"/>
        </w:rPr>
        <w:t>。</w:t>
      </w:r>
    </w:p>
    <w:p w14:paraId="6CB7ACD5">
      <w:pPr>
        <w:jc w:val="center"/>
      </w:pPr>
      <w:r>
        <w:rPr>
          <w:rFonts w:hint="eastAsia"/>
        </w:rPr>
        <w:t>表3</w:t>
      </w:r>
      <w:r>
        <w:t xml:space="preserve"> </w:t>
      </w:r>
      <w:r>
        <w:rPr>
          <w:rFonts w:hint="eastAsia"/>
        </w:rPr>
        <w:t>公共选修课</w:t>
      </w:r>
    </w:p>
    <w:tbl>
      <w:tblPr>
        <w:tblStyle w:val="16"/>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8"/>
      </w:tblGrid>
      <w:tr w14:paraId="671A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118A025B">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序号</w:t>
            </w:r>
          </w:p>
        </w:tc>
        <w:tc>
          <w:tcPr>
            <w:tcW w:w="1858" w:type="dxa"/>
            <w:vAlign w:val="center"/>
          </w:tcPr>
          <w:p w14:paraId="1EAF8801">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14:paraId="01AEC996">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学分</w:t>
            </w:r>
          </w:p>
        </w:tc>
        <w:tc>
          <w:tcPr>
            <w:tcW w:w="1176" w:type="dxa"/>
            <w:vAlign w:val="center"/>
          </w:tcPr>
          <w:p w14:paraId="45A22A26">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学时</w:t>
            </w:r>
          </w:p>
        </w:tc>
        <w:tc>
          <w:tcPr>
            <w:tcW w:w="2113" w:type="dxa"/>
            <w:vAlign w:val="center"/>
          </w:tcPr>
          <w:p w14:paraId="70463869">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14:paraId="1D0A5282">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主要内容和教学要求</w:t>
            </w:r>
          </w:p>
        </w:tc>
        <w:tc>
          <w:tcPr>
            <w:tcW w:w="588" w:type="dxa"/>
            <w:vAlign w:val="center"/>
          </w:tcPr>
          <w:p w14:paraId="2BFF0E2C">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备注</w:t>
            </w:r>
          </w:p>
        </w:tc>
      </w:tr>
      <w:tr w14:paraId="0ECA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3BBE7ED6">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858" w:type="dxa"/>
            <w:vAlign w:val="center"/>
          </w:tcPr>
          <w:p w14:paraId="395616F2">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全校性公共选修课</w:t>
            </w:r>
          </w:p>
          <w:p w14:paraId="5F8A9B23">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（一门课程一般为1学分，学生在校期间须修满4学分）</w:t>
            </w:r>
          </w:p>
        </w:tc>
        <w:tc>
          <w:tcPr>
            <w:tcW w:w="592" w:type="dxa"/>
            <w:vAlign w:val="center"/>
          </w:tcPr>
          <w:p w14:paraId="6EE403D6">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4.0</w:t>
            </w:r>
          </w:p>
        </w:tc>
        <w:tc>
          <w:tcPr>
            <w:tcW w:w="1176" w:type="dxa"/>
            <w:vAlign w:val="center"/>
          </w:tcPr>
          <w:p w14:paraId="21E8A9A3">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72</w:t>
            </w:r>
          </w:p>
        </w:tc>
        <w:tc>
          <w:tcPr>
            <w:tcW w:w="2113" w:type="dxa"/>
            <w:vAlign w:val="center"/>
          </w:tcPr>
          <w:p w14:paraId="7991224B">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扩大学生的知识面、完善学生知识能力结构，培养和发展学生的兴趣和潜能。</w:t>
            </w:r>
          </w:p>
        </w:tc>
        <w:tc>
          <w:tcPr>
            <w:tcW w:w="2002" w:type="dxa"/>
            <w:vAlign w:val="center"/>
          </w:tcPr>
          <w:p w14:paraId="4A6DE4D1">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执行学校每学期公布的公共选修课目录，指导学生结合自身兴趣爱好选修相应课程。</w:t>
            </w:r>
          </w:p>
        </w:tc>
        <w:tc>
          <w:tcPr>
            <w:tcW w:w="588" w:type="dxa"/>
            <w:vAlign w:val="center"/>
          </w:tcPr>
          <w:p w14:paraId="7E318C08">
            <w:pPr>
              <w:keepNext w:val="0"/>
              <w:keepLines w:val="0"/>
              <w:suppressLineNumbers w:val="0"/>
              <w:spacing w:before="0" w:beforeAutospacing="0" w:after="0" w:afterAutospacing="0"/>
              <w:ind w:left="0" w:right="0"/>
              <w:rPr>
                <w:rFonts w:hint="default" w:asciiTheme="minorEastAsia" w:hAnsiTheme="minorEastAsia"/>
                <w:sz w:val="18"/>
                <w:szCs w:val="18"/>
              </w:rPr>
            </w:pPr>
          </w:p>
        </w:tc>
      </w:tr>
    </w:tbl>
    <w:p w14:paraId="644BB41C">
      <w:pPr>
        <w:keepNext/>
        <w:keepLines/>
        <w:spacing w:before="234" w:beforeLines="75" w:after="234" w:afterLines="75" w:line="280" w:lineRule="exact"/>
        <w:ind w:left="420" w:leftChars="200"/>
        <w:outlineLvl w:val="2"/>
        <w:rPr>
          <w:rFonts w:ascii="仿宋" w:hAnsi="仿宋" w:eastAsia="仿宋"/>
          <w:b/>
          <w:bCs/>
          <w:szCs w:val="32"/>
        </w:rPr>
      </w:pPr>
      <w:bookmarkStart w:id="12" w:name="_Toc89793275"/>
      <w:r>
        <w:rPr>
          <w:rFonts w:hint="eastAsia" w:ascii="仿宋" w:hAnsi="仿宋" w:eastAsia="仿宋"/>
          <w:b/>
          <w:bCs/>
          <w:szCs w:val="32"/>
        </w:rPr>
        <w:t>3.限定选修课</w:t>
      </w:r>
      <w:bookmarkEnd w:id="12"/>
    </w:p>
    <w:p w14:paraId="0EEF812F">
      <w:pPr>
        <w:ind w:firstLine="420" w:firstLineChars="200"/>
      </w:pPr>
      <w:r>
        <w:rPr>
          <w:rFonts w:hint="eastAsia"/>
        </w:rPr>
        <w:t>本专业开设的限定选修课见表4。</w:t>
      </w:r>
    </w:p>
    <w:p w14:paraId="5B23E230">
      <w:pPr>
        <w:jc w:val="center"/>
      </w:pPr>
      <w:r>
        <w:rPr>
          <w:rFonts w:hint="eastAsia"/>
        </w:rPr>
        <w:t>表4</w:t>
      </w:r>
      <w:r>
        <w:t xml:space="preserve"> </w:t>
      </w:r>
      <w:r>
        <w:rPr>
          <w:rFonts w:hint="eastAsia"/>
        </w:rPr>
        <w:t>限定选修课</w:t>
      </w:r>
    </w:p>
    <w:tbl>
      <w:tblPr>
        <w:tblStyle w:val="1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14:paraId="017E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vAlign w:val="center"/>
          </w:tcPr>
          <w:p w14:paraId="1C76D902">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序号</w:t>
            </w:r>
          </w:p>
        </w:tc>
        <w:tc>
          <w:tcPr>
            <w:tcW w:w="1858" w:type="dxa"/>
            <w:vAlign w:val="center"/>
          </w:tcPr>
          <w:p w14:paraId="2C324F97">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14:paraId="37877D80">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学分</w:t>
            </w:r>
          </w:p>
        </w:tc>
        <w:tc>
          <w:tcPr>
            <w:tcW w:w="1176" w:type="dxa"/>
            <w:vAlign w:val="center"/>
          </w:tcPr>
          <w:p w14:paraId="0F5C83E5">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学时</w:t>
            </w:r>
          </w:p>
        </w:tc>
        <w:tc>
          <w:tcPr>
            <w:tcW w:w="2113" w:type="dxa"/>
            <w:vAlign w:val="center"/>
          </w:tcPr>
          <w:p w14:paraId="1A87E15B">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14:paraId="096A92F9">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14:paraId="7F3813EC">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备注</w:t>
            </w:r>
          </w:p>
        </w:tc>
      </w:tr>
      <w:tr w14:paraId="6559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4D361E0A">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858" w:type="dxa"/>
            <w:vAlign w:val="center"/>
          </w:tcPr>
          <w:p w14:paraId="3C91BB4F">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计算机应用基础</w:t>
            </w:r>
          </w:p>
        </w:tc>
        <w:tc>
          <w:tcPr>
            <w:tcW w:w="592" w:type="dxa"/>
            <w:vAlign w:val="center"/>
          </w:tcPr>
          <w:p w14:paraId="1D8FB220">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176" w:type="dxa"/>
            <w:vAlign w:val="center"/>
          </w:tcPr>
          <w:p w14:paraId="5A80782A">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32</w:t>
            </w:r>
          </w:p>
          <w:p w14:paraId="45676D31">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其中理论16，实践16</w:t>
            </w:r>
          </w:p>
        </w:tc>
        <w:tc>
          <w:tcPr>
            <w:tcW w:w="2113" w:type="dxa"/>
            <w:vAlign w:val="center"/>
          </w:tcPr>
          <w:p w14:paraId="6C99A318">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通过课程的学习，使学生能够掌握计算机基础知识、计算机基本使用方法、文字信息处理方法、数据信息处理技术以及实用计算机工具软件基本使用方法。</w:t>
            </w:r>
          </w:p>
        </w:tc>
        <w:tc>
          <w:tcPr>
            <w:tcW w:w="2002" w:type="dxa"/>
            <w:vAlign w:val="center"/>
          </w:tcPr>
          <w:p w14:paraId="62B693B8">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1.课程的教学内容包括计算机的基础知识、基本概念和基本操作技能，实用软件的使用和计算机应用领域的前沿知识，为学生熟练使用计算机和进一步学习计算机有关知识打下基础。</w:t>
            </w:r>
          </w:p>
          <w:p w14:paraId="0374C022">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2.课程教学以线上线下相结合的方式进行，鼓励学生自行实操练习，在做中学，在学中做。</w:t>
            </w:r>
          </w:p>
          <w:p w14:paraId="52CC363B">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14:paraId="16DC777D">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369A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3B141839">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w:t>
            </w:r>
          </w:p>
        </w:tc>
        <w:tc>
          <w:tcPr>
            <w:tcW w:w="1858" w:type="dxa"/>
            <w:vAlign w:val="center"/>
          </w:tcPr>
          <w:p w14:paraId="72196A64">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公共艺术</w:t>
            </w:r>
          </w:p>
        </w:tc>
        <w:tc>
          <w:tcPr>
            <w:tcW w:w="592" w:type="dxa"/>
            <w:vAlign w:val="center"/>
          </w:tcPr>
          <w:p w14:paraId="423DDFD5">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1.0</w:t>
            </w:r>
          </w:p>
        </w:tc>
        <w:tc>
          <w:tcPr>
            <w:tcW w:w="1176" w:type="dxa"/>
            <w:vAlign w:val="center"/>
          </w:tcPr>
          <w:p w14:paraId="5FCA8BAB">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18</w:t>
            </w:r>
          </w:p>
          <w:p w14:paraId="1C52DC45">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其中理论4，实践14</w:t>
            </w:r>
          </w:p>
        </w:tc>
        <w:tc>
          <w:tcPr>
            <w:tcW w:w="2113" w:type="dxa"/>
            <w:vAlign w:val="center"/>
          </w:tcPr>
          <w:p w14:paraId="6CCA889E">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通过课程的学习，使学生了解不同艺术类型的表现形式、审美特征和相互之间的联系与区别，掌握欣赏艺术作品和创作艺术作品的基本方法，提高艺术鉴赏能力。</w:t>
            </w:r>
          </w:p>
        </w:tc>
        <w:tc>
          <w:tcPr>
            <w:tcW w:w="2002" w:type="dxa"/>
            <w:vAlign w:val="center"/>
          </w:tcPr>
          <w:p w14:paraId="26EA4881">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1.课程的教学内容主要是讲授公共艺术的理论与方法，培养学生对公共艺术有整体的了解和鉴赏能力，提高学生审美素养。</w:t>
            </w:r>
          </w:p>
          <w:p w14:paraId="23C30095">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2.课程教学以实践教学为主，鼓励学生积极参加艺术教育活动。</w:t>
            </w:r>
          </w:p>
          <w:p w14:paraId="5B6D6D1D">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3.课程考核方式为考查。</w:t>
            </w:r>
          </w:p>
        </w:tc>
        <w:tc>
          <w:tcPr>
            <w:tcW w:w="580" w:type="dxa"/>
            <w:vAlign w:val="center"/>
          </w:tcPr>
          <w:p w14:paraId="7F77AC82">
            <w:pPr>
              <w:keepNext w:val="0"/>
              <w:keepLines w:val="0"/>
              <w:suppressLineNumbers w:val="0"/>
              <w:spacing w:before="0" w:beforeAutospacing="0" w:after="0" w:afterAutospacing="0"/>
              <w:ind w:left="0" w:right="0"/>
              <w:rPr>
                <w:rFonts w:hint="default" w:asciiTheme="minorEastAsia" w:hAnsiTheme="minorEastAsia"/>
                <w:sz w:val="18"/>
                <w:szCs w:val="18"/>
              </w:rPr>
            </w:pPr>
          </w:p>
        </w:tc>
      </w:tr>
    </w:tbl>
    <w:p w14:paraId="041CD6FD">
      <w:pPr>
        <w:keepNext/>
        <w:keepLines/>
        <w:snapToGrid w:val="0"/>
        <w:spacing w:before="100" w:beforeAutospacing="1" w:after="100" w:afterAutospacing="1"/>
        <w:ind w:left="420" w:leftChars="200"/>
        <w:outlineLvl w:val="1"/>
        <w:rPr>
          <w:rFonts w:eastAsia="楷体" w:asciiTheme="majorHAnsi" w:hAnsiTheme="majorHAnsi" w:cstheme="majorBidi"/>
          <w:bCs/>
          <w:sz w:val="28"/>
          <w:szCs w:val="32"/>
        </w:rPr>
      </w:pPr>
      <w:bookmarkStart w:id="13" w:name="_Toc89793276"/>
      <w:r>
        <w:rPr>
          <w:rFonts w:hint="eastAsia" w:eastAsia="楷体" w:asciiTheme="majorHAnsi" w:hAnsiTheme="majorHAnsi" w:cstheme="majorBidi"/>
          <w:bCs/>
          <w:sz w:val="28"/>
          <w:szCs w:val="32"/>
        </w:rPr>
        <w:t>（二）专业（技能）课程</w:t>
      </w:r>
      <w:bookmarkEnd w:id="13"/>
    </w:p>
    <w:p w14:paraId="76D19D6B">
      <w:pPr>
        <w:ind w:firstLine="420" w:firstLineChars="200"/>
      </w:pPr>
      <w:r>
        <w:rPr>
          <w:rFonts w:hint="eastAsia"/>
        </w:rPr>
        <w:t>专业（技能）课程分为专业基础平台课、专业技术方向课、专业拓展课。</w:t>
      </w:r>
    </w:p>
    <w:p w14:paraId="5EB5CBAF">
      <w:pPr>
        <w:keepNext/>
        <w:keepLines/>
        <w:spacing w:before="234" w:beforeLines="75" w:after="234" w:afterLines="75" w:line="280" w:lineRule="exact"/>
        <w:ind w:left="420" w:leftChars="200"/>
        <w:outlineLvl w:val="2"/>
        <w:rPr>
          <w:rFonts w:ascii="仿宋" w:hAnsi="仿宋" w:eastAsia="仿宋"/>
          <w:b/>
          <w:bCs/>
          <w:szCs w:val="32"/>
        </w:rPr>
      </w:pPr>
      <w:bookmarkStart w:id="14" w:name="_Toc89793277"/>
      <w:r>
        <w:rPr>
          <w:rFonts w:hint="eastAsia" w:ascii="仿宋" w:hAnsi="仿宋" w:eastAsia="仿宋"/>
          <w:b/>
          <w:bCs/>
          <w:szCs w:val="32"/>
        </w:rPr>
        <w:t>1.专业群基础平台课</w:t>
      </w:r>
      <w:bookmarkEnd w:id="14"/>
    </w:p>
    <w:p w14:paraId="03787DDB">
      <w:pPr>
        <w:ind w:firstLine="420" w:firstLineChars="200"/>
      </w:pPr>
      <w:r>
        <w:rPr>
          <w:rFonts w:hint="eastAsia"/>
        </w:rPr>
        <w:t>本专业开设的专业群基础平台课见表5。</w:t>
      </w:r>
    </w:p>
    <w:p w14:paraId="4840B86B">
      <w:pPr>
        <w:jc w:val="center"/>
      </w:pPr>
      <w:r>
        <w:rPr>
          <w:rFonts w:hint="eastAsia"/>
        </w:rPr>
        <w:t>表5</w:t>
      </w:r>
      <w:r>
        <w:t xml:space="preserve"> </w:t>
      </w:r>
      <w:r>
        <w:rPr>
          <w:rFonts w:hint="eastAsia"/>
        </w:rPr>
        <w:t>专业群基础平台课</w:t>
      </w:r>
    </w:p>
    <w:tbl>
      <w:tblPr>
        <w:tblStyle w:val="1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14:paraId="3CA7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vAlign w:val="center"/>
          </w:tcPr>
          <w:p w14:paraId="11684E98">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序号</w:t>
            </w:r>
          </w:p>
        </w:tc>
        <w:tc>
          <w:tcPr>
            <w:tcW w:w="1858" w:type="dxa"/>
            <w:vAlign w:val="center"/>
          </w:tcPr>
          <w:p w14:paraId="411777B6">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14:paraId="485307DE">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学分</w:t>
            </w:r>
          </w:p>
        </w:tc>
        <w:tc>
          <w:tcPr>
            <w:tcW w:w="1176" w:type="dxa"/>
            <w:vAlign w:val="center"/>
          </w:tcPr>
          <w:p w14:paraId="416E364A">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学时</w:t>
            </w:r>
          </w:p>
        </w:tc>
        <w:tc>
          <w:tcPr>
            <w:tcW w:w="2113" w:type="dxa"/>
            <w:vAlign w:val="center"/>
          </w:tcPr>
          <w:p w14:paraId="3CED45CB">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14:paraId="2D7D8FE5">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14:paraId="2B1362D8">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备注</w:t>
            </w:r>
          </w:p>
        </w:tc>
      </w:tr>
      <w:tr w14:paraId="0CC9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576" w:type="dxa"/>
            <w:vAlign w:val="center"/>
          </w:tcPr>
          <w:p w14:paraId="0C21E316">
            <w:pPr>
              <w:keepNext w:val="0"/>
              <w:keepLines w:val="0"/>
              <w:suppressLineNumbers w:val="0"/>
              <w:spacing w:before="0" w:beforeAutospacing="0" w:after="0" w:afterAutospacing="0"/>
              <w:ind w:left="0" w:right="0"/>
              <w:jc w:val="center"/>
              <w:rPr>
                <w:rFonts w:hint="default" w:asciiTheme="minorEastAsia" w:hAnsiTheme="minorEastAsia"/>
                <w:color w:val="auto"/>
                <w:sz w:val="18"/>
                <w:szCs w:val="18"/>
              </w:rPr>
            </w:pPr>
            <w:r>
              <w:rPr>
                <w:rFonts w:hint="eastAsia" w:asciiTheme="minorEastAsia" w:hAnsiTheme="minorEastAsia"/>
                <w:color w:val="auto"/>
                <w:sz w:val="18"/>
                <w:szCs w:val="18"/>
              </w:rPr>
              <w:t>1</w:t>
            </w:r>
          </w:p>
        </w:tc>
        <w:tc>
          <w:tcPr>
            <w:tcW w:w="1858" w:type="dxa"/>
            <w:vAlign w:val="center"/>
          </w:tcPr>
          <w:p w14:paraId="046A7B34">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rPr>
            </w:pPr>
            <w:r>
              <w:rPr>
                <w:rFonts w:hint="eastAsia"/>
                <w:color w:val="auto"/>
                <w:sz w:val="18"/>
                <w:szCs w:val="18"/>
                <w:lang w:eastAsia="zh-CN"/>
              </w:rPr>
              <w:t>职业</w:t>
            </w:r>
            <w:r>
              <w:rPr>
                <w:rFonts w:hint="eastAsia"/>
                <w:color w:val="auto"/>
                <w:sz w:val="18"/>
                <w:szCs w:val="18"/>
              </w:rPr>
              <w:t>英语Η</w:t>
            </w:r>
          </w:p>
        </w:tc>
        <w:tc>
          <w:tcPr>
            <w:tcW w:w="592" w:type="dxa"/>
            <w:vAlign w:val="center"/>
          </w:tcPr>
          <w:p w14:paraId="023B85FC">
            <w:pPr>
              <w:keepNext w:val="0"/>
              <w:keepLines w:val="0"/>
              <w:suppressLineNumbers w:val="0"/>
              <w:spacing w:before="0" w:beforeAutospacing="0" w:after="0" w:afterAutospacing="0"/>
              <w:ind w:left="0" w:right="0"/>
              <w:rPr>
                <w:rFonts w:hint="default" w:ascii="宋体" w:hAnsi="宋体" w:eastAsia="宋体" w:cs="宋体"/>
                <w:color w:val="auto"/>
                <w:sz w:val="18"/>
                <w:szCs w:val="18"/>
              </w:rPr>
            </w:pPr>
            <w:r>
              <w:rPr>
                <w:rFonts w:hint="eastAsia"/>
                <w:color w:val="auto"/>
                <w:sz w:val="18"/>
                <w:szCs w:val="18"/>
                <w:lang w:val="en-US" w:eastAsia="zh-CN"/>
              </w:rPr>
              <w:t>4</w:t>
            </w:r>
            <w:r>
              <w:rPr>
                <w:rFonts w:hint="eastAsia"/>
                <w:color w:val="auto"/>
                <w:sz w:val="18"/>
                <w:szCs w:val="18"/>
              </w:rPr>
              <w:t xml:space="preserve">.0 </w:t>
            </w:r>
          </w:p>
        </w:tc>
        <w:tc>
          <w:tcPr>
            <w:tcW w:w="1176" w:type="dxa"/>
            <w:vAlign w:val="center"/>
          </w:tcPr>
          <w:p w14:paraId="3C7B5CDC">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eastAsia="宋体"/>
                <w:color w:val="auto"/>
                <w:sz w:val="18"/>
                <w:szCs w:val="18"/>
                <w:lang w:val="en-US" w:eastAsia="zh-CN"/>
              </w:rPr>
              <w:t>72</w:t>
            </w:r>
          </w:p>
        </w:tc>
        <w:tc>
          <w:tcPr>
            <w:tcW w:w="2113" w:type="dxa"/>
            <w:vAlign w:val="center"/>
          </w:tcPr>
          <w:p w14:paraId="40ADC77E">
            <w:pPr>
              <w:keepNext w:val="0"/>
              <w:keepLines w:val="0"/>
              <w:suppressLineNumbers w:val="0"/>
              <w:spacing w:before="0" w:beforeAutospacing="0" w:after="0" w:afterAutospacing="0"/>
              <w:ind w:left="0" w:right="0"/>
              <w:rPr>
                <w:rFonts w:hint="eastAsia" w:asciiTheme="minorEastAsia" w:hAnsiTheme="minorEastAsia" w:eastAsiaTheme="minorEastAsia"/>
                <w:color w:val="auto"/>
                <w:sz w:val="18"/>
                <w:szCs w:val="18"/>
                <w:lang w:eastAsia="zh-CN"/>
              </w:rPr>
            </w:pPr>
            <w:r>
              <w:rPr>
                <w:rFonts w:hint="eastAsia" w:asciiTheme="minorEastAsia" w:hAnsiTheme="minorEastAsia"/>
                <w:color w:val="auto"/>
                <w:sz w:val="18"/>
                <w:szCs w:val="18"/>
              </w:rPr>
              <w:t>通过</w:t>
            </w:r>
            <w:r>
              <w:rPr>
                <w:rFonts w:hint="eastAsia" w:asciiTheme="minorEastAsia" w:hAnsiTheme="minorEastAsia"/>
                <w:color w:val="auto"/>
                <w:sz w:val="18"/>
                <w:szCs w:val="18"/>
                <w:lang w:eastAsia="zh-CN"/>
              </w:rPr>
              <w:t>本课程的学习，培养学生的英语职业能力及英语职业素养，提升学生在就业领域内的英语综合运用能力，以满足学生将来的择业需要。</w:t>
            </w:r>
          </w:p>
        </w:tc>
        <w:tc>
          <w:tcPr>
            <w:tcW w:w="2002" w:type="dxa"/>
            <w:vAlign w:val="center"/>
          </w:tcPr>
          <w:p w14:paraId="704FEE04">
            <w:pPr>
              <w:keepNext w:val="0"/>
              <w:keepLines w:val="0"/>
              <w:suppressLineNumbers w:val="0"/>
              <w:spacing w:before="0" w:beforeAutospacing="0" w:after="0" w:afterAutospacing="0"/>
              <w:ind w:left="0" w:right="0"/>
              <w:rPr>
                <w:rFonts w:hint="eastAsia" w:asciiTheme="minorEastAsia" w:hAnsiTheme="minorEastAsia"/>
                <w:color w:val="auto"/>
                <w:sz w:val="18"/>
                <w:szCs w:val="18"/>
                <w:lang w:eastAsia="zh-CN"/>
              </w:rPr>
            </w:pPr>
            <w:r>
              <w:rPr>
                <w:rFonts w:hint="eastAsia" w:asciiTheme="minorEastAsia" w:hAnsiTheme="minorEastAsia"/>
                <w:color w:val="auto"/>
                <w:sz w:val="18"/>
                <w:szCs w:val="18"/>
                <w:lang w:eastAsia="zh-CN"/>
              </w:rPr>
              <w:t>本课程内容包括为各行业通用的职业英语和国际贸易、市场、财政金融、电子商务、计算机等紧密联系的商务职业英语。</w:t>
            </w:r>
          </w:p>
          <w:p w14:paraId="315CDF46">
            <w:pPr>
              <w:keepNext w:val="0"/>
              <w:keepLines w:val="0"/>
              <w:suppressLineNumbers w:val="0"/>
              <w:spacing w:before="0" w:beforeAutospacing="0" w:after="0" w:afterAutospacing="0"/>
              <w:ind w:left="0" w:right="0"/>
              <w:rPr>
                <w:rFonts w:hint="default" w:asciiTheme="minorEastAsia" w:hAnsiTheme="minorEastAsia"/>
                <w:color w:val="auto"/>
                <w:sz w:val="18"/>
                <w:szCs w:val="18"/>
              </w:rPr>
            </w:pPr>
            <w:r>
              <w:rPr>
                <w:rFonts w:hint="eastAsia" w:asciiTheme="minorEastAsia" w:hAnsiTheme="minorEastAsia"/>
                <w:color w:val="auto"/>
                <w:sz w:val="18"/>
                <w:szCs w:val="18"/>
              </w:rPr>
              <w:t>本</w:t>
            </w:r>
            <w:r>
              <w:rPr>
                <w:rFonts w:hint="eastAsia" w:asciiTheme="minorEastAsia" w:hAnsiTheme="minorEastAsia"/>
                <w:color w:val="auto"/>
                <w:sz w:val="18"/>
                <w:szCs w:val="18"/>
                <w:lang w:eastAsia="zh-CN"/>
              </w:rPr>
              <w:t>课程要求学生熟悉并掌握求职过程中的常用英语表达，能够看懂英文招聘广告，书写英文求职信和个人简历，并掌握英语面试的礼仪，技巧及相关表达，了解各行业相关英文术语的同时熟悉英语面试的大致流程，在英文面试中，能流利有技巧地回答面试官提出的问题。</w:t>
            </w:r>
            <w:r>
              <w:rPr>
                <w:rFonts w:hint="eastAsia" w:asciiTheme="minorEastAsia" w:hAnsiTheme="minorEastAsia"/>
                <w:color w:val="auto"/>
                <w:sz w:val="18"/>
                <w:szCs w:val="18"/>
              </w:rPr>
              <w:t>课程考核方式为考</w:t>
            </w:r>
            <w:r>
              <w:rPr>
                <w:rFonts w:hint="eastAsia" w:asciiTheme="minorEastAsia" w:hAnsiTheme="minorEastAsia"/>
                <w:color w:val="auto"/>
                <w:sz w:val="18"/>
                <w:szCs w:val="18"/>
                <w:lang w:eastAsia="zh-CN"/>
              </w:rPr>
              <w:t>试</w:t>
            </w:r>
            <w:r>
              <w:rPr>
                <w:rFonts w:hint="eastAsia" w:asciiTheme="minorEastAsia" w:hAnsiTheme="minorEastAsia"/>
                <w:color w:val="auto"/>
                <w:sz w:val="18"/>
                <w:szCs w:val="18"/>
              </w:rPr>
              <w:t>。</w:t>
            </w:r>
          </w:p>
        </w:tc>
        <w:tc>
          <w:tcPr>
            <w:tcW w:w="580" w:type="dxa"/>
            <w:vAlign w:val="center"/>
          </w:tcPr>
          <w:p w14:paraId="31D00136">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68A8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07DE8AF9">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18"/>
                <w:szCs w:val="18"/>
                <w:lang w:val="en-US" w:eastAsia="zh-CN"/>
              </w:rPr>
            </w:pPr>
            <w:r>
              <w:rPr>
                <w:rFonts w:hint="eastAsia" w:asciiTheme="minorEastAsia" w:hAnsiTheme="minorEastAsia"/>
                <w:color w:val="auto"/>
                <w:sz w:val="18"/>
                <w:szCs w:val="18"/>
                <w:lang w:val="en-US" w:eastAsia="zh-CN"/>
              </w:rPr>
              <w:t>2</w:t>
            </w:r>
          </w:p>
        </w:tc>
        <w:tc>
          <w:tcPr>
            <w:tcW w:w="1858" w:type="dxa"/>
            <w:vAlign w:val="center"/>
          </w:tcPr>
          <w:p w14:paraId="5CE7EAD6">
            <w:pPr>
              <w:keepNext w:val="0"/>
              <w:keepLines w:val="0"/>
              <w:widowControl/>
              <w:suppressLineNumbers w:val="0"/>
              <w:spacing w:before="0" w:beforeAutospacing="0" w:after="0" w:afterAutospacing="0"/>
              <w:ind w:left="0" w:right="0"/>
              <w:jc w:val="center"/>
              <w:textAlignment w:val="center"/>
              <w:rPr>
                <w:rFonts w:hint="eastAsia"/>
                <w:color w:val="auto"/>
                <w:sz w:val="18"/>
                <w:szCs w:val="18"/>
                <w:lang w:eastAsia="zh-CN"/>
              </w:rPr>
            </w:pPr>
            <w:r>
              <w:rPr>
                <w:rFonts w:hint="eastAsia" w:ascii="宋体" w:hAnsi="宋体" w:eastAsia="宋体" w:cs="宋体"/>
                <w:i w:val="0"/>
                <w:color w:val="auto"/>
                <w:kern w:val="0"/>
                <w:sz w:val="18"/>
                <w:szCs w:val="18"/>
                <w:u w:val="none"/>
                <w:lang w:val="en-US" w:eastAsia="zh-CN" w:bidi="ar"/>
              </w:rPr>
              <w:t>跨文化商务交际</w:t>
            </w:r>
            <w:r>
              <w:rPr>
                <w:rFonts w:hint="eastAsia"/>
                <w:color w:val="auto"/>
                <w:sz w:val="18"/>
                <w:szCs w:val="18"/>
              </w:rPr>
              <w:t>Η</w:t>
            </w:r>
          </w:p>
        </w:tc>
        <w:tc>
          <w:tcPr>
            <w:tcW w:w="592" w:type="dxa"/>
            <w:vAlign w:val="center"/>
          </w:tcPr>
          <w:p w14:paraId="4296218C">
            <w:pPr>
              <w:keepNext w:val="0"/>
              <w:keepLines w:val="0"/>
              <w:suppressLineNumbers w:val="0"/>
              <w:spacing w:before="0" w:beforeAutospacing="0" w:after="0" w:afterAutospacing="0"/>
              <w:ind w:left="0" w:right="0"/>
              <w:rPr>
                <w:rFonts w:hint="default"/>
                <w:color w:val="auto"/>
                <w:sz w:val="18"/>
                <w:szCs w:val="18"/>
                <w:lang w:val="en-US" w:eastAsia="zh-CN"/>
              </w:rPr>
            </w:pPr>
            <w:r>
              <w:rPr>
                <w:rFonts w:hint="eastAsia"/>
                <w:color w:val="auto"/>
                <w:sz w:val="18"/>
                <w:szCs w:val="18"/>
                <w:lang w:val="en-US" w:eastAsia="zh-CN"/>
              </w:rPr>
              <w:t>2</w:t>
            </w:r>
          </w:p>
        </w:tc>
        <w:tc>
          <w:tcPr>
            <w:tcW w:w="1176" w:type="dxa"/>
            <w:vAlign w:val="center"/>
          </w:tcPr>
          <w:p w14:paraId="5D2D508F">
            <w:pPr>
              <w:keepNext w:val="0"/>
              <w:keepLines w:val="0"/>
              <w:suppressLineNumbers w:val="0"/>
              <w:spacing w:before="0" w:beforeAutospacing="0" w:after="0" w:afterAutospacing="0"/>
              <w:ind w:left="0" w:right="0"/>
              <w:jc w:val="center"/>
              <w:rPr>
                <w:rFonts w:hint="default" w:eastAsia="宋体"/>
                <w:color w:val="auto"/>
                <w:sz w:val="18"/>
                <w:szCs w:val="18"/>
                <w:lang w:val="en-US" w:eastAsia="zh-CN"/>
              </w:rPr>
            </w:pPr>
            <w:r>
              <w:rPr>
                <w:rFonts w:hint="eastAsia" w:eastAsia="宋体"/>
                <w:color w:val="auto"/>
                <w:sz w:val="18"/>
                <w:szCs w:val="18"/>
                <w:lang w:val="en-US" w:eastAsia="zh-CN"/>
              </w:rPr>
              <w:t>36</w:t>
            </w:r>
          </w:p>
        </w:tc>
        <w:tc>
          <w:tcPr>
            <w:tcW w:w="2113" w:type="dxa"/>
            <w:vAlign w:val="center"/>
          </w:tcPr>
          <w:p w14:paraId="4C6149BC">
            <w:pPr>
              <w:pStyle w:val="14"/>
              <w:keepNext w:val="0"/>
              <w:keepLines w:val="0"/>
              <w:suppressLineNumbers w:val="0"/>
              <w:spacing w:before="0" w:beforeAutospacing="0" w:after="180" w:afterAutospacing="0"/>
              <w:ind w:left="0" w:right="0"/>
              <w:rPr>
                <w:rFonts w:hint="default" w:asciiTheme="minorEastAsia" w:hAnsiTheme="minorEastAsia" w:eastAsiaTheme="minorEastAsia" w:cstheme="minorBidi"/>
                <w:kern w:val="2"/>
                <w:sz w:val="18"/>
                <w:szCs w:val="18"/>
              </w:rPr>
            </w:pPr>
            <w:r>
              <w:rPr>
                <w:rFonts w:hint="eastAsia" w:asciiTheme="minorEastAsia" w:hAnsiTheme="minorEastAsia"/>
                <w:sz w:val="18"/>
                <w:szCs w:val="18"/>
              </w:rPr>
              <w:t>通过课程的学习，</w:t>
            </w:r>
            <w:r>
              <w:rPr>
                <w:rFonts w:hint="eastAsia" w:asciiTheme="minorEastAsia" w:hAnsiTheme="minorEastAsia" w:eastAsiaTheme="minorEastAsia" w:cstheme="minorBidi"/>
                <w:kern w:val="2"/>
                <w:sz w:val="18"/>
                <w:szCs w:val="18"/>
              </w:rPr>
              <w:t>培养学生的跨文化意识，增加他们对文化差异的敏感度，正确使用交际策略，增强他们在跨文化交际中的自信以及交际的准确性，帮助他们避免交际失误，能够适应不同文化，提高跨文化交际能力。所以，它不同于其它英语专业的课程，实践性较强。</w:t>
            </w:r>
          </w:p>
          <w:p w14:paraId="7D686979">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p>
        </w:tc>
        <w:tc>
          <w:tcPr>
            <w:tcW w:w="2002" w:type="dxa"/>
            <w:vAlign w:val="center"/>
          </w:tcPr>
          <w:p w14:paraId="4BE4EB1C">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包括语言与文化关系、本课程包括五部分。第一部分为跨文化交际基础篇，包括跨文化交际国内外的发展概况，如何理解交际与文化的概念、特点及其相互关系。第二部分为跨文化交际的核心篇，主要阐述文化如何影响人们对世界的认识和感知，特别是世界观与价值观如何因文化而异，并影响人们的日常行为和人际关系。第三部分为言语交际篇，包括文化因素对语言交际行为的影响，介绍中西方人对语言交际功能的不同认识和在交际中对环境因素的依赖程度，较为详细的说明中英语言存在的差异，探讨中国学生英语学习中和英语口、笔语交流中的语言迁移问题。第四部分为非语言交际篇，探讨非言语交际行为的跨文化差异。第五部分为跨文化交际的提高篇，重点探讨如何克服跨文化交际中的障碍，培养跨文化交际能力与跨文化交际研究对人自身发展的重要意义。</w:t>
            </w:r>
          </w:p>
          <w:p w14:paraId="5117E3EB">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本课程要求学生注意有意识的培养跨文化交际意识，增加对文化差异的敏感度，正确使用交际策略，增强在跨文化交际中的自信以及交际的准确性，避免交际失误，能够适应不同文化，从而提高跨文化交际能力。以教师讲课为主，学生讨论为辅；教材学习为主，影音材料视听为辅；教学中以个案分析为先导，知识讲解为主导，以增强学生基本技能。课程考核方式为考查。</w:t>
            </w:r>
          </w:p>
        </w:tc>
        <w:tc>
          <w:tcPr>
            <w:tcW w:w="580" w:type="dxa"/>
            <w:vAlign w:val="center"/>
          </w:tcPr>
          <w:p w14:paraId="5A653C98">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384C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48D03D14">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18"/>
                <w:szCs w:val="18"/>
                <w:lang w:val="en-US" w:eastAsia="zh-CN"/>
              </w:rPr>
            </w:pPr>
            <w:r>
              <w:rPr>
                <w:rFonts w:hint="eastAsia" w:asciiTheme="minorEastAsia" w:hAnsiTheme="minorEastAsia"/>
                <w:color w:val="auto"/>
                <w:sz w:val="18"/>
                <w:szCs w:val="18"/>
                <w:lang w:val="en-US" w:eastAsia="zh-CN"/>
              </w:rPr>
              <w:t>3</w:t>
            </w:r>
          </w:p>
        </w:tc>
        <w:tc>
          <w:tcPr>
            <w:tcW w:w="1858" w:type="dxa"/>
            <w:vAlign w:val="center"/>
          </w:tcPr>
          <w:p w14:paraId="60481BD2">
            <w:pPr>
              <w:keepNext w:val="0"/>
              <w:keepLines w:val="0"/>
              <w:widowControl/>
              <w:suppressLineNumbers w:val="0"/>
              <w:spacing w:before="0" w:beforeAutospacing="0" w:after="0" w:afterAutospacing="0"/>
              <w:ind w:left="0" w:right="0"/>
              <w:jc w:val="center"/>
              <w:textAlignment w:val="center"/>
              <w:rPr>
                <w:rFonts w:hint="eastAsia"/>
                <w:color w:val="auto"/>
                <w:sz w:val="18"/>
                <w:szCs w:val="18"/>
                <w:lang w:eastAsia="zh-CN"/>
              </w:rPr>
            </w:pPr>
            <w:r>
              <w:rPr>
                <w:rFonts w:hint="eastAsia" w:ascii="宋体" w:hAnsi="宋体" w:eastAsia="宋体" w:cs="宋体"/>
                <w:i w:val="0"/>
                <w:color w:val="auto"/>
                <w:kern w:val="0"/>
                <w:sz w:val="18"/>
                <w:szCs w:val="18"/>
                <w:u w:val="none"/>
                <w:lang w:val="en-US" w:eastAsia="zh-CN" w:bidi="ar"/>
              </w:rPr>
              <w:t>跨境电商基础★</w:t>
            </w:r>
          </w:p>
        </w:tc>
        <w:tc>
          <w:tcPr>
            <w:tcW w:w="592" w:type="dxa"/>
            <w:vAlign w:val="center"/>
          </w:tcPr>
          <w:p w14:paraId="7432BDA3">
            <w:pPr>
              <w:keepNext w:val="0"/>
              <w:keepLines w:val="0"/>
              <w:suppressLineNumbers w:val="0"/>
              <w:spacing w:before="0" w:beforeAutospacing="0" w:after="0" w:afterAutospacing="0"/>
              <w:ind w:left="0" w:right="0"/>
              <w:rPr>
                <w:rFonts w:hint="default"/>
                <w:color w:val="auto"/>
                <w:sz w:val="18"/>
                <w:szCs w:val="18"/>
                <w:lang w:val="en-US" w:eastAsia="zh-CN"/>
              </w:rPr>
            </w:pPr>
            <w:r>
              <w:rPr>
                <w:rFonts w:hint="eastAsia"/>
                <w:color w:val="auto"/>
                <w:sz w:val="18"/>
                <w:szCs w:val="18"/>
                <w:lang w:val="en-US" w:eastAsia="zh-CN"/>
              </w:rPr>
              <w:t>4</w:t>
            </w:r>
          </w:p>
        </w:tc>
        <w:tc>
          <w:tcPr>
            <w:tcW w:w="1176" w:type="dxa"/>
            <w:vAlign w:val="center"/>
          </w:tcPr>
          <w:p w14:paraId="35BBD59C">
            <w:pPr>
              <w:keepNext w:val="0"/>
              <w:keepLines w:val="0"/>
              <w:suppressLineNumbers w:val="0"/>
              <w:spacing w:before="0" w:beforeAutospacing="0" w:after="0" w:afterAutospacing="0"/>
              <w:ind w:left="0" w:right="0"/>
              <w:jc w:val="center"/>
              <w:rPr>
                <w:rFonts w:hint="default" w:eastAsia="宋体"/>
                <w:color w:val="auto"/>
                <w:sz w:val="18"/>
                <w:szCs w:val="18"/>
                <w:lang w:val="en-US" w:eastAsia="zh-CN"/>
              </w:rPr>
            </w:pPr>
            <w:r>
              <w:rPr>
                <w:rFonts w:hint="eastAsia" w:eastAsia="宋体"/>
                <w:color w:val="auto"/>
                <w:sz w:val="18"/>
                <w:szCs w:val="18"/>
                <w:lang w:val="en-US" w:eastAsia="zh-CN"/>
              </w:rPr>
              <w:t>72</w:t>
            </w:r>
          </w:p>
        </w:tc>
        <w:tc>
          <w:tcPr>
            <w:tcW w:w="2113" w:type="dxa"/>
            <w:vAlign w:val="center"/>
          </w:tcPr>
          <w:p w14:paraId="51A2B431">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通过在校内理实一体化实训室的全真操作，根据项目教学要求，让学生掌握八项基本业务操作技能，即跨境店铺注册操作、跨境物流与海外仓操作、海外消费者习惯调研操作、数据化选品和视觉设计操作、跨境产品刊登和发布操作、跨境店铺运营与推广操作、订单处理操作、客户服务操作等业务操作能力，培养学生踏实肯干、吃苦耐劳的工作作风以及善于沟通和团队合作的工作品质，为学生走上跨境电商工作岗位和跨境电商创业打下坚实的基础。</w:t>
            </w:r>
          </w:p>
        </w:tc>
        <w:tc>
          <w:tcPr>
            <w:tcW w:w="2002" w:type="dxa"/>
            <w:vAlign w:val="center"/>
          </w:tcPr>
          <w:p w14:paraId="1EAB6B61">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18"/>
                <w:szCs w:val="18"/>
                <w:lang w:val="en-US" w:eastAsia="zh-CN" w:bidi="ar-SA"/>
              </w:rPr>
            </w:pPr>
            <w:r>
              <w:rPr>
                <w:rFonts w:hint="eastAsia" w:asciiTheme="minorEastAsia" w:hAnsiTheme="minorEastAsia"/>
                <w:sz w:val="18"/>
                <w:szCs w:val="18"/>
              </w:rPr>
              <w:t>本课程</w:t>
            </w:r>
            <w:r>
              <w:rPr>
                <w:rFonts w:hint="eastAsia"/>
                <w:sz w:val="18"/>
                <w:szCs w:val="18"/>
              </w:rPr>
              <w:t>包括主流跨境电子商务平台选择与规则熟悉、</w:t>
            </w:r>
            <w:r>
              <w:rPr>
                <w:rFonts w:hint="default"/>
                <w:sz w:val="18"/>
                <w:szCs w:val="18"/>
              </w:rPr>
              <w:t>市场定位</w:t>
            </w:r>
            <w:r>
              <w:rPr>
                <w:rFonts w:hint="eastAsia"/>
                <w:sz w:val="18"/>
                <w:szCs w:val="18"/>
              </w:rPr>
              <w:t>与</w:t>
            </w:r>
            <w:r>
              <w:rPr>
                <w:rFonts w:hint="default"/>
                <w:sz w:val="18"/>
                <w:szCs w:val="18"/>
              </w:rPr>
              <w:t>选品</w:t>
            </w:r>
            <w:r>
              <w:rPr>
                <w:rFonts w:hint="eastAsia"/>
                <w:sz w:val="18"/>
                <w:szCs w:val="18"/>
              </w:rPr>
              <w:t>、</w:t>
            </w:r>
            <w:r>
              <w:rPr>
                <w:rFonts w:hint="default"/>
                <w:sz w:val="18"/>
                <w:szCs w:val="18"/>
              </w:rPr>
              <w:t>产品发布</w:t>
            </w:r>
            <w:r>
              <w:rPr>
                <w:rFonts w:hint="eastAsia"/>
                <w:sz w:val="18"/>
                <w:szCs w:val="18"/>
              </w:rPr>
              <w:t>与</w:t>
            </w:r>
            <w:r>
              <w:rPr>
                <w:rFonts w:hint="default"/>
                <w:sz w:val="18"/>
                <w:szCs w:val="18"/>
              </w:rPr>
              <w:t>上架</w:t>
            </w:r>
            <w:r>
              <w:rPr>
                <w:rFonts w:hint="eastAsia"/>
                <w:sz w:val="18"/>
                <w:szCs w:val="18"/>
              </w:rPr>
              <w:t>规划、产品</w:t>
            </w:r>
            <w:r>
              <w:rPr>
                <w:rFonts w:hint="default"/>
                <w:sz w:val="18"/>
                <w:szCs w:val="18"/>
              </w:rPr>
              <w:t>推广</w:t>
            </w:r>
            <w:r>
              <w:rPr>
                <w:rFonts w:hint="eastAsia"/>
                <w:sz w:val="18"/>
                <w:szCs w:val="18"/>
              </w:rPr>
              <w:t>与</w:t>
            </w:r>
            <w:r>
              <w:rPr>
                <w:rFonts w:hint="default"/>
                <w:sz w:val="18"/>
                <w:szCs w:val="18"/>
              </w:rPr>
              <w:t>优化</w:t>
            </w:r>
            <w:r>
              <w:rPr>
                <w:rFonts w:hint="eastAsia"/>
                <w:sz w:val="18"/>
                <w:szCs w:val="18"/>
              </w:rPr>
              <w:t>、</w:t>
            </w:r>
            <w:r>
              <w:rPr>
                <w:rFonts w:hint="default"/>
                <w:sz w:val="18"/>
                <w:szCs w:val="18"/>
              </w:rPr>
              <w:t>文案编辑</w:t>
            </w:r>
            <w:r>
              <w:rPr>
                <w:rFonts w:hint="eastAsia"/>
                <w:sz w:val="18"/>
                <w:szCs w:val="18"/>
              </w:rPr>
              <w:t>与</w:t>
            </w:r>
            <w:r>
              <w:rPr>
                <w:rFonts w:hint="default"/>
                <w:sz w:val="18"/>
                <w:szCs w:val="18"/>
              </w:rPr>
              <w:t>修改</w:t>
            </w:r>
            <w:r>
              <w:rPr>
                <w:rFonts w:hint="eastAsia"/>
                <w:sz w:val="18"/>
                <w:szCs w:val="18"/>
              </w:rPr>
              <w:t>、</w:t>
            </w:r>
            <w:r>
              <w:rPr>
                <w:rFonts w:hint="default"/>
                <w:sz w:val="18"/>
                <w:szCs w:val="18"/>
              </w:rPr>
              <w:t>客户问题解决</w:t>
            </w:r>
            <w:r>
              <w:rPr>
                <w:rFonts w:hint="eastAsia"/>
                <w:sz w:val="18"/>
                <w:szCs w:val="18"/>
              </w:rPr>
              <w:t>、</w:t>
            </w:r>
            <w:r>
              <w:rPr>
                <w:rFonts w:hint="default"/>
                <w:sz w:val="18"/>
                <w:szCs w:val="18"/>
              </w:rPr>
              <w:t>订单跟踪</w:t>
            </w:r>
            <w:r>
              <w:rPr>
                <w:rFonts w:hint="eastAsia"/>
                <w:sz w:val="18"/>
                <w:szCs w:val="18"/>
              </w:rPr>
              <w:t>、物流与供应链管理、</w:t>
            </w:r>
            <w:r>
              <w:rPr>
                <w:rFonts w:hint="default"/>
                <w:sz w:val="18"/>
                <w:szCs w:val="18"/>
              </w:rPr>
              <w:t>后台数据监控</w:t>
            </w:r>
            <w:r>
              <w:rPr>
                <w:rFonts w:hint="eastAsia"/>
                <w:sz w:val="18"/>
                <w:szCs w:val="18"/>
              </w:rPr>
              <w:t>与</w:t>
            </w:r>
            <w:r>
              <w:rPr>
                <w:rFonts w:hint="default"/>
                <w:sz w:val="18"/>
                <w:szCs w:val="18"/>
              </w:rPr>
              <w:t>分析</w:t>
            </w:r>
            <w:r>
              <w:rPr>
                <w:rFonts w:hint="eastAsia"/>
                <w:sz w:val="18"/>
                <w:szCs w:val="18"/>
              </w:rPr>
              <w:t>等教学内容，主要培养学生综合运用英语进行跨境电子商务平台操作的能力。</w:t>
            </w:r>
            <w:r>
              <w:rPr>
                <w:rFonts w:hint="eastAsia" w:asciiTheme="minorEastAsia" w:hAnsiTheme="minorEastAsia"/>
                <w:sz w:val="18"/>
                <w:szCs w:val="18"/>
              </w:rPr>
              <w:t>课程考核方式为考试。</w:t>
            </w:r>
          </w:p>
        </w:tc>
        <w:tc>
          <w:tcPr>
            <w:tcW w:w="580" w:type="dxa"/>
            <w:vAlign w:val="center"/>
          </w:tcPr>
          <w:p w14:paraId="7AD4639E">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591B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4" w:hRule="atLeast"/>
          <w:jc w:val="center"/>
        </w:trPr>
        <w:tc>
          <w:tcPr>
            <w:tcW w:w="576" w:type="dxa"/>
            <w:vAlign w:val="center"/>
          </w:tcPr>
          <w:p w14:paraId="175BA9F0">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4</w:t>
            </w:r>
          </w:p>
        </w:tc>
        <w:tc>
          <w:tcPr>
            <w:tcW w:w="1858" w:type="dxa"/>
            <w:vAlign w:val="center"/>
          </w:tcPr>
          <w:p w14:paraId="4CF5CC7D">
            <w:pPr>
              <w:keepNext w:val="0"/>
              <w:keepLines w:val="0"/>
              <w:widowControl/>
              <w:suppressLineNumbers w:val="0"/>
              <w:spacing w:before="0" w:beforeAutospacing="0" w:after="0" w:afterAutospacing="0"/>
              <w:ind w:left="0" w:right="0"/>
              <w:jc w:val="center"/>
              <w:textAlignment w:val="center"/>
              <w:rPr>
                <w:rFonts w:hint="eastAsia"/>
                <w:color w:val="FF0000"/>
                <w:sz w:val="18"/>
                <w:szCs w:val="18"/>
                <w:lang w:eastAsia="zh-CN"/>
              </w:rPr>
            </w:pPr>
            <w:r>
              <w:rPr>
                <w:rFonts w:hint="eastAsia" w:ascii="宋体" w:hAnsi="宋体" w:eastAsia="宋体" w:cs="宋体"/>
                <w:i w:val="0"/>
                <w:color w:val="000000"/>
                <w:kern w:val="0"/>
                <w:sz w:val="18"/>
                <w:szCs w:val="18"/>
                <w:u w:val="none"/>
                <w:lang w:val="en-US" w:eastAsia="zh-CN" w:bidi="ar"/>
              </w:rPr>
              <w:t>国际贸易实务Η★</w:t>
            </w:r>
          </w:p>
        </w:tc>
        <w:tc>
          <w:tcPr>
            <w:tcW w:w="592" w:type="dxa"/>
            <w:vAlign w:val="center"/>
          </w:tcPr>
          <w:p w14:paraId="3B79C3D7">
            <w:pPr>
              <w:keepNext w:val="0"/>
              <w:keepLines w:val="0"/>
              <w:suppressLineNumbers w:val="0"/>
              <w:spacing w:before="0" w:beforeAutospacing="0" w:after="0" w:afterAutospacing="0"/>
              <w:ind w:left="0" w:right="0"/>
              <w:rPr>
                <w:rFonts w:hint="eastAsia" w:ascii="宋体" w:hAnsi="宋体" w:eastAsia="宋体" w:cs="宋体"/>
                <w:kern w:val="2"/>
                <w:sz w:val="18"/>
                <w:szCs w:val="18"/>
                <w:lang w:val="en-US" w:eastAsia="zh-CN" w:bidi="ar-SA"/>
              </w:rPr>
            </w:pPr>
            <w:r>
              <w:rPr>
                <w:rFonts w:hint="eastAsia"/>
                <w:sz w:val="18"/>
                <w:szCs w:val="18"/>
              </w:rPr>
              <w:t xml:space="preserve">4.0 </w:t>
            </w:r>
          </w:p>
        </w:tc>
        <w:tc>
          <w:tcPr>
            <w:tcW w:w="1176" w:type="dxa"/>
            <w:vAlign w:val="center"/>
          </w:tcPr>
          <w:p w14:paraId="41F813A8">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sz w:val="18"/>
                <w:szCs w:val="18"/>
              </w:rPr>
              <w:t>72</w:t>
            </w:r>
          </w:p>
        </w:tc>
        <w:tc>
          <w:tcPr>
            <w:tcW w:w="2113" w:type="dxa"/>
            <w:vAlign w:val="center"/>
          </w:tcPr>
          <w:p w14:paraId="5EFB0E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通过课程的学习，针对国际贸易的特点和要求，从实践和法律的角度，分析研究国际贸易适用的有关法律与惯例和国际商品交换过程的各种实际运作，总结国内外实践经验和吸收国际上一些行之有效的贸易习惯做法，以便掌握从事国际贸易的“生意经”，学会在进出口业务中，既能正确贯彻我国对外贸易的方针政策和经营意图，确保最佳经济效益，又能按国际规范办事使我们的贸易做法能为国际社会普遍接受，做到同国际接轨。</w:t>
            </w:r>
          </w:p>
        </w:tc>
        <w:tc>
          <w:tcPr>
            <w:tcW w:w="2002" w:type="dxa"/>
            <w:vAlign w:val="center"/>
          </w:tcPr>
          <w:p w14:paraId="1700B1F6">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w:t>
            </w:r>
            <w:r>
              <w:rPr>
                <w:rFonts w:hint="default" w:asciiTheme="minorEastAsia" w:hAnsiTheme="minorEastAsia"/>
                <w:sz w:val="18"/>
                <w:szCs w:val="18"/>
              </w:rPr>
              <w:t>包括四个方面的内容：国际贸易术语、国际货物买卖合同条款、国际货物买卖合同的商订与履行、国际贸易方式等。</w:t>
            </w:r>
          </w:p>
          <w:p w14:paraId="469A720E">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本课程是一门实践性很强的应用学科，因此在教学过程中，重视案例分析、平时操作练习，课程认识实习、毕业实习，增加学生对该课程的感性认识，培养实际操作能力。课程考核方式为考试。</w:t>
            </w:r>
          </w:p>
        </w:tc>
        <w:tc>
          <w:tcPr>
            <w:tcW w:w="580" w:type="dxa"/>
            <w:vAlign w:val="center"/>
          </w:tcPr>
          <w:p w14:paraId="1B23573C">
            <w:pPr>
              <w:keepNext w:val="0"/>
              <w:keepLines w:val="0"/>
              <w:suppressLineNumbers w:val="0"/>
              <w:spacing w:before="0" w:beforeAutospacing="0" w:after="0" w:afterAutospacing="0"/>
              <w:ind w:left="0" w:right="0"/>
              <w:rPr>
                <w:rFonts w:hint="default" w:asciiTheme="minorEastAsia" w:hAnsiTheme="minorEastAsia"/>
                <w:sz w:val="18"/>
                <w:szCs w:val="18"/>
              </w:rPr>
            </w:pPr>
          </w:p>
        </w:tc>
      </w:tr>
    </w:tbl>
    <w:p w14:paraId="12E7B71F">
      <w:pPr>
        <w:keepNext/>
        <w:keepLines/>
        <w:spacing w:before="234" w:beforeLines="75" w:after="234" w:afterLines="75" w:line="280" w:lineRule="exact"/>
        <w:ind w:left="420" w:leftChars="200"/>
        <w:outlineLvl w:val="2"/>
        <w:rPr>
          <w:rFonts w:ascii="仿宋" w:hAnsi="仿宋" w:eastAsia="仿宋"/>
          <w:b/>
          <w:bCs/>
          <w:szCs w:val="32"/>
        </w:rPr>
      </w:pPr>
      <w:bookmarkStart w:id="15" w:name="_Toc89793278"/>
      <w:r>
        <w:rPr>
          <w:rFonts w:ascii="仿宋" w:hAnsi="仿宋" w:eastAsia="仿宋"/>
          <w:b/>
          <w:bCs/>
          <w:szCs w:val="32"/>
        </w:rPr>
        <w:t>2</w:t>
      </w:r>
      <w:r>
        <w:rPr>
          <w:rFonts w:hint="eastAsia" w:ascii="仿宋" w:hAnsi="仿宋" w:eastAsia="仿宋"/>
          <w:b/>
          <w:bCs/>
          <w:szCs w:val="32"/>
        </w:rPr>
        <w:t>.专业技术方向课</w:t>
      </w:r>
      <w:bookmarkEnd w:id="15"/>
    </w:p>
    <w:p w14:paraId="44E00FF3">
      <w:pPr>
        <w:ind w:firstLine="420" w:firstLineChars="200"/>
      </w:pPr>
      <w:r>
        <w:rPr>
          <w:rFonts w:hint="eastAsia"/>
        </w:rPr>
        <w:t>本专业开设的专业技术方向课见表6。</w:t>
      </w:r>
    </w:p>
    <w:p w14:paraId="099B2863">
      <w:pPr>
        <w:jc w:val="center"/>
      </w:pPr>
      <w:r>
        <w:rPr>
          <w:rFonts w:hint="eastAsia"/>
        </w:rPr>
        <w:t>表6</w:t>
      </w:r>
      <w:r>
        <w:t xml:space="preserve"> </w:t>
      </w:r>
      <w:r>
        <w:rPr>
          <w:rFonts w:hint="eastAsia"/>
        </w:rPr>
        <w:t>专业技术方向课</w:t>
      </w:r>
    </w:p>
    <w:tbl>
      <w:tblPr>
        <w:tblStyle w:val="1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14:paraId="41F5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vAlign w:val="center"/>
          </w:tcPr>
          <w:p w14:paraId="2EA8E187">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序号</w:t>
            </w:r>
          </w:p>
        </w:tc>
        <w:tc>
          <w:tcPr>
            <w:tcW w:w="1858" w:type="dxa"/>
            <w:vAlign w:val="center"/>
          </w:tcPr>
          <w:p w14:paraId="1B641107">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14:paraId="4F3BE784">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学分</w:t>
            </w:r>
          </w:p>
        </w:tc>
        <w:tc>
          <w:tcPr>
            <w:tcW w:w="1176" w:type="dxa"/>
            <w:vAlign w:val="center"/>
          </w:tcPr>
          <w:p w14:paraId="36336EB8">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学时</w:t>
            </w:r>
          </w:p>
        </w:tc>
        <w:tc>
          <w:tcPr>
            <w:tcW w:w="2113" w:type="dxa"/>
            <w:vAlign w:val="center"/>
          </w:tcPr>
          <w:p w14:paraId="2ED0E23B">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14:paraId="6F95A53E">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14:paraId="00421144">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备注</w:t>
            </w:r>
          </w:p>
        </w:tc>
      </w:tr>
      <w:tr w14:paraId="3685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5E89D7F5">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858" w:type="dxa"/>
            <w:vAlign w:val="center"/>
          </w:tcPr>
          <w:p w14:paraId="01A93E8A">
            <w:pPr>
              <w:keepNext w:val="0"/>
              <w:keepLines w:val="0"/>
              <w:suppressLineNumbers w:val="0"/>
              <w:spacing w:before="0" w:beforeAutospacing="0" w:after="0" w:afterAutospacing="0"/>
              <w:ind w:left="0" w:right="0"/>
              <w:jc w:val="center"/>
              <w:rPr>
                <w:rFonts w:hint="eastAsia" w:ascii="宋体" w:hAnsi="宋体" w:cs="宋体" w:eastAsiaTheme="minorEastAsia"/>
                <w:sz w:val="18"/>
                <w:szCs w:val="18"/>
                <w:lang w:val="en-US" w:eastAsia="zh-CN"/>
              </w:rPr>
            </w:pPr>
            <w:r>
              <w:rPr>
                <w:rFonts w:hint="eastAsia"/>
                <w:sz w:val="18"/>
                <w:szCs w:val="18"/>
                <w:lang w:eastAsia="zh-CN"/>
              </w:rPr>
              <w:t>基础</w:t>
            </w:r>
            <w:r>
              <w:rPr>
                <w:rFonts w:hint="eastAsia"/>
                <w:sz w:val="18"/>
                <w:szCs w:val="18"/>
              </w:rPr>
              <w:t>英语A</w:t>
            </w:r>
            <w:r>
              <w:rPr>
                <w:rFonts w:hint="eastAsia"/>
                <w:sz w:val="18"/>
                <w:szCs w:val="18"/>
                <w:lang w:val="en-US" w:eastAsia="zh-CN"/>
              </w:rPr>
              <w:t>H</w:t>
            </w:r>
          </w:p>
        </w:tc>
        <w:tc>
          <w:tcPr>
            <w:tcW w:w="592" w:type="dxa"/>
            <w:vAlign w:val="center"/>
          </w:tcPr>
          <w:p w14:paraId="1AE040FB">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sz w:val="18"/>
                <w:szCs w:val="18"/>
                <w:lang w:val="en-US" w:eastAsia="zh-CN"/>
              </w:rPr>
              <w:t>4</w:t>
            </w:r>
            <w:r>
              <w:rPr>
                <w:rFonts w:hint="eastAsia"/>
                <w:sz w:val="18"/>
                <w:szCs w:val="18"/>
              </w:rPr>
              <w:t>.0</w:t>
            </w:r>
          </w:p>
        </w:tc>
        <w:tc>
          <w:tcPr>
            <w:tcW w:w="1176" w:type="dxa"/>
            <w:vAlign w:val="center"/>
          </w:tcPr>
          <w:p w14:paraId="3814794E">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eastAsia="宋体"/>
                <w:sz w:val="18"/>
                <w:szCs w:val="18"/>
                <w:lang w:val="en-US" w:eastAsia="zh-CN"/>
              </w:rPr>
              <w:t>72</w:t>
            </w:r>
          </w:p>
        </w:tc>
        <w:tc>
          <w:tcPr>
            <w:tcW w:w="2113" w:type="dxa"/>
            <w:vAlign w:val="center"/>
          </w:tcPr>
          <w:p w14:paraId="75974B5A">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一方面让学生掌握一些未来工作所需要的基本商务知识和技能，为其进一步深入学习商务知识打下基础。另一方面帮助学生扩展商务词汇，在商务的语境下自由而充分地运用英语进行交流。总而言之，无论学生是想从这门课程中学习商务知识，还是想练习商务英语表达，都能够从中受益。</w:t>
            </w:r>
          </w:p>
        </w:tc>
        <w:tc>
          <w:tcPr>
            <w:tcW w:w="2002" w:type="dxa"/>
            <w:vAlign w:val="center"/>
          </w:tcPr>
          <w:p w14:paraId="377B5656">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包括十个单元的内容，每章的主要内容都是以基本的商业行为为主线，从企业的开始创建到经验管理，系统的培养学习者对各种商业情境的认知和理解，训练其从事相关商务活动的基本能力。主要商务理论知识包括商业环境、企业家精神、发现商机、创建企业、组织结构、员工招聘与培训、员工激励、企业文化、生产与产品、市场营销、财务管理、企业融资、企业社会责任、进入国际市场、电子商务。</w:t>
            </w:r>
          </w:p>
          <w:p w14:paraId="25FA3F2D">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采取线上线下结合的教学方式，充分运用翻转课堂的理念。学生将通过观看线上教师讲授视频、完成作业练习及线下课堂小组活动、分享交流等多种方式循序渐进地了解商务基础理论和知识，提高商务英语表达和沟通能力，为未来的学习和工作打好基础。</w:t>
            </w:r>
          </w:p>
          <w:p w14:paraId="55C56816">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课程考核方式为考试。</w:t>
            </w:r>
          </w:p>
        </w:tc>
        <w:tc>
          <w:tcPr>
            <w:tcW w:w="580" w:type="dxa"/>
            <w:vAlign w:val="center"/>
          </w:tcPr>
          <w:p w14:paraId="4287234D">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465D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7462C16C">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w:t>
            </w:r>
          </w:p>
        </w:tc>
        <w:tc>
          <w:tcPr>
            <w:tcW w:w="1858" w:type="dxa"/>
            <w:vAlign w:val="center"/>
          </w:tcPr>
          <w:p w14:paraId="22B087DC">
            <w:pPr>
              <w:keepNext w:val="0"/>
              <w:keepLines w:val="0"/>
              <w:suppressLineNumbers w:val="0"/>
              <w:spacing w:before="0" w:beforeAutospacing="0" w:after="0" w:afterAutospacing="0"/>
              <w:ind w:left="0" w:right="0"/>
              <w:rPr>
                <w:rFonts w:hint="eastAsia" w:ascii="宋体" w:hAnsi="宋体" w:cs="宋体" w:eastAsiaTheme="minorEastAsia"/>
                <w:sz w:val="18"/>
                <w:szCs w:val="18"/>
                <w:lang w:val="en-US" w:eastAsia="zh-CN"/>
              </w:rPr>
            </w:pPr>
            <w:r>
              <w:rPr>
                <w:rFonts w:hint="eastAsia"/>
                <w:sz w:val="18"/>
                <w:szCs w:val="18"/>
              </w:rPr>
              <w:t>英语听力</w:t>
            </w:r>
            <w:r>
              <w:rPr>
                <w:rFonts w:hint="eastAsia"/>
                <w:sz w:val="18"/>
                <w:szCs w:val="18"/>
                <w:lang w:val="en-US" w:eastAsia="zh-CN"/>
              </w:rPr>
              <w:t>A</w:t>
            </w:r>
          </w:p>
        </w:tc>
        <w:tc>
          <w:tcPr>
            <w:tcW w:w="592" w:type="dxa"/>
            <w:vAlign w:val="center"/>
          </w:tcPr>
          <w:p w14:paraId="6927FAD1">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sz w:val="18"/>
                <w:szCs w:val="18"/>
                <w:lang w:val="en-US" w:eastAsia="zh-CN"/>
              </w:rPr>
              <w:t>4</w:t>
            </w:r>
            <w:r>
              <w:rPr>
                <w:rFonts w:hint="eastAsia"/>
                <w:sz w:val="18"/>
                <w:szCs w:val="18"/>
              </w:rPr>
              <w:t xml:space="preserve">.0 </w:t>
            </w:r>
          </w:p>
        </w:tc>
        <w:tc>
          <w:tcPr>
            <w:tcW w:w="1176" w:type="dxa"/>
            <w:vAlign w:val="center"/>
          </w:tcPr>
          <w:p w14:paraId="767753A6">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eastAsia="宋体"/>
                <w:sz w:val="18"/>
                <w:szCs w:val="18"/>
                <w:lang w:val="en-US" w:eastAsia="zh-CN"/>
              </w:rPr>
              <w:t>72</w:t>
            </w:r>
          </w:p>
        </w:tc>
        <w:tc>
          <w:tcPr>
            <w:tcW w:w="2113" w:type="dxa"/>
            <w:vAlign w:val="center"/>
          </w:tcPr>
          <w:p w14:paraId="35BF7DC0">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堂教学和引导学生课外开展大量的以英语为媒介的商务材料的自主听力练习，帮助学生巩固英语语言的系统性知识，培养他们准确感和英语语音和语调的能力，增强他们对商务英语口头交际的听力理解能力，在培养学生听力能力的同时，让学生熟悉各种商务活动，了解相关的商务知识，针对学生的就业岗位而进行的英语应用能力的强化训练。</w:t>
            </w:r>
          </w:p>
        </w:tc>
        <w:tc>
          <w:tcPr>
            <w:tcW w:w="2002" w:type="dxa"/>
            <w:vAlign w:val="center"/>
          </w:tcPr>
          <w:p w14:paraId="4BDDF5B6">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涵盖英语国家人士日常生活和社会生活的谈话、小短文和小故事等内容，共十个单元。本课程的教学要求包括听辨词汇发音和语义，听辨英语句子及句群的意义，能辨别语音、单词和句子结构并熟悉数字、时间的表达；能听懂小的商务对话，并能进行模拟表演，掌握商务对话的特点；能听懂会概括段落大意，抓住要点，进行内容复述；能掌握听的技巧，能根据上下文推测词句等大意；了解听力中存在的英语国家文化。课程考核方式为考查。</w:t>
            </w:r>
          </w:p>
        </w:tc>
        <w:tc>
          <w:tcPr>
            <w:tcW w:w="580" w:type="dxa"/>
            <w:vAlign w:val="center"/>
          </w:tcPr>
          <w:p w14:paraId="57942E72">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33F8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7A6C386D">
            <w:pPr>
              <w:keepNext w:val="0"/>
              <w:keepLines w:val="0"/>
              <w:suppressLineNumbers w:val="0"/>
              <w:spacing w:before="0" w:beforeAutospacing="0" w:after="0" w:afterAutospacing="0"/>
              <w:ind w:left="0" w:right="0"/>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3</w:t>
            </w:r>
          </w:p>
        </w:tc>
        <w:tc>
          <w:tcPr>
            <w:tcW w:w="1858" w:type="dxa"/>
            <w:vAlign w:val="center"/>
          </w:tcPr>
          <w:p w14:paraId="7A0A69B5">
            <w:pPr>
              <w:keepNext w:val="0"/>
              <w:keepLines w:val="0"/>
              <w:suppressLineNumbers w:val="0"/>
              <w:spacing w:before="0" w:beforeAutospacing="0" w:after="0" w:afterAutospacing="0"/>
              <w:ind w:left="0" w:right="0"/>
              <w:rPr>
                <w:rFonts w:hint="eastAsia" w:ascii="宋体" w:hAnsi="宋体" w:cs="宋体" w:eastAsiaTheme="minorEastAsia"/>
                <w:kern w:val="2"/>
                <w:sz w:val="18"/>
                <w:szCs w:val="18"/>
                <w:lang w:val="en-US" w:eastAsia="zh-CN" w:bidi="ar-SA"/>
              </w:rPr>
            </w:pPr>
            <w:r>
              <w:rPr>
                <w:rFonts w:hint="eastAsia"/>
                <w:sz w:val="18"/>
                <w:szCs w:val="18"/>
              </w:rPr>
              <w:t>英语口语</w:t>
            </w:r>
            <w:r>
              <w:rPr>
                <w:rFonts w:hint="eastAsia"/>
                <w:sz w:val="18"/>
                <w:szCs w:val="18"/>
                <w:lang w:val="en-US" w:eastAsia="zh-CN"/>
              </w:rPr>
              <w:t>A</w:t>
            </w:r>
          </w:p>
        </w:tc>
        <w:tc>
          <w:tcPr>
            <w:tcW w:w="592" w:type="dxa"/>
            <w:vAlign w:val="center"/>
          </w:tcPr>
          <w:p w14:paraId="34C77E97">
            <w:pPr>
              <w:keepNext w:val="0"/>
              <w:keepLines w:val="0"/>
              <w:suppressLineNumbers w:val="0"/>
              <w:spacing w:before="0" w:beforeAutospacing="0" w:after="0" w:afterAutospacing="0"/>
              <w:ind w:left="0" w:right="0"/>
              <w:rPr>
                <w:rFonts w:hint="eastAsia" w:ascii="宋体" w:hAnsi="宋体" w:eastAsia="宋体" w:cs="宋体"/>
                <w:kern w:val="2"/>
                <w:sz w:val="18"/>
                <w:szCs w:val="18"/>
                <w:lang w:val="en-US" w:eastAsia="zh-CN" w:bidi="ar-SA"/>
              </w:rPr>
            </w:pPr>
            <w:r>
              <w:rPr>
                <w:rFonts w:hint="eastAsia"/>
                <w:sz w:val="18"/>
                <w:szCs w:val="18"/>
                <w:lang w:val="en-US" w:eastAsia="zh-CN"/>
              </w:rPr>
              <w:t>4</w:t>
            </w:r>
            <w:r>
              <w:rPr>
                <w:rFonts w:hint="eastAsia"/>
                <w:sz w:val="18"/>
                <w:szCs w:val="18"/>
              </w:rPr>
              <w:t xml:space="preserve">.0 </w:t>
            </w:r>
          </w:p>
        </w:tc>
        <w:tc>
          <w:tcPr>
            <w:tcW w:w="1176" w:type="dxa"/>
            <w:vAlign w:val="center"/>
          </w:tcPr>
          <w:p w14:paraId="0837591A">
            <w:pPr>
              <w:keepNext w:val="0"/>
              <w:keepLines w:val="0"/>
              <w:suppressLineNumbers w:val="0"/>
              <w:spacing w:before="0" w:beforeAutospacing="0" w:after="0" w:afterAutospacing="0"/>
              <w:ind w:left="0" w:right="0"/>
              <w:jc w:val="center"/>
              <w:rPr>
                <w:rFonts w:hint="default" w:ascii="宋体" w:hAnsi="宋体" w:eastAsia="宋体" w:cs="宋体"/>
                <w:kern w:val="2"/>
                <w:sz w:val="18"/>
                <w:szCs w:val="18"/>
                <w:lang w:val="en-US" w:eastAsia="zh-CN" w:bidi="ar-SA"/>
              </w:rPr>
            </w:pPr>
            <w:r>
              <w:rPr>
                <w:rFonts w:hint="eastAsia" w:eastAsia="宋体"/>
                <w:sz w:val="18"/>
                <w:szCs w:val="18"/>
                <w:lang w:val="en-US" w:eastAsia="zh-CN"/>
              </w:rPr>
              <w:t>72</w:t>
            </w:r>
          </w:p>
        </w:tc>
        <w:tc>
          <w:tcPr>
            <w:tcW w:w="2113" w:type="dxa"/>
            <w:vAlign w:val="center"/>
          </w:tcPr>
          <w:p w14:paraId="0182C45C">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通过本课程大量的口语练习和实践，逐步培养和提高学生用英语进行口头交际的能力，同时帮助学生了解主要英语国家的文化背景和生活习俗。课程不仅注重语言运用能力的培养，而且重视培养学生的跨文化交际能力。</w:t>
            </w:r>
          </w:p>
        </w:tc>
        <w:tc>
          <w:tcPr>
            <w:tcW w:w="2002" w:type="dxa"/>
            <w:vAlign w:val="center"/>
          </w:tcPr>
          <w:p w14:paraId="05C11290">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本课程包括重音、节奏、语调、句群间的停顿、见面和打招呼、谈论方向和位置、接听电话、发出和接受邀请、致谢等十个单元内容。本课程要求从应用型高职英语教育自身的特点入手，在教学活动中充分体现出口语教学的现代性，通过轻松幽默的课堂氛围和多种有趣的课堂活动，激发学生说英语的兴趣和勇气，培养学生口语表达能力，使他们能在今后的学习和工作中用英语有效进行口头的信息交流，较为有效地实现跨文化交际，同时增强其自主学习能力、提高综合文化素养，同时通过专项口语内容训练，规范英语口语表达，为学生走上工作岗位打下坚实的基础。课程考核方式为考查。</w:t>
            </w:r>
          </w:p>
        </w:tc>
        <w:tc>
          <w:tcPr>
            <w:tcW w:w="580" w:type="dxa"/>
            <w:vAlign w:val="center"/>
          </w:tcPr>
          <w:p w14:paraId="1D60BFA4">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66FD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6E8EE8BC">
            <w:pPr>
              <w:keepNext w:val="0"/>
              <w:keepLines w:val="0"/>
              <w:suppressLineNumbers w:val="0"/>
              <w:spacing w:before="0" w:beforeAutospacing="0" w:after="0" w:afterAutospacing="0"/>
              <w:ind w:left="0" w:right="0"/>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4</w:t>
            </w:r>
          </w:p>
        </w:tc>
        <w:tc>
          <w:tcPr>
            <w:tcW w:w="1858" w:type="dxa"/>
            <w:vAlign w:val="center"/>
          </w:tcPr>
          <w:p w14:paraId="2CE7605E">
            <w:pPr>
              <w:keepNext w:val="0"/>
              <w:keepLines w:val="0"/>
              <w:suppressLineNumbers w:val="0"/>
              <w:spacing w:before="0" w:beforeAutospacing="0" w:after="0" w:afterAutospacing="0"/>
              <w:ind w:left="0" w:right="0"/>
              <w:rPr>
                <w:rFonts w:hint="eastAsia" w:ascii="宋体" w:hAnsi="宋体" w:cs="宋体" w:eastAsiaTheme="minorEastAsia"/>
                <w:kern w:val="2"/>
                <w:sz w:val="18"/>
                <w:szCs w:val="18"/>
                <w:highlight w:val="none"/>
                <w:lang w:val="en-US" w:eastAsia="zh-CN" w:bidi="ar-SA"/>
              </w:rPr>
            </w:pPr>
            <w:r>
              <w:rPr>
                <w:rFonts w:hint="eastAsia"/>
                <w:sz w:val="18"/>
                <w:szCs w:val="18"/>
                <w:highlight w:val="none"/>
              </w:rPr>
              <w:t>英语</w:t>
            </w:r>
            <w:r>
              <w:rPr>
                <w:rFonts w:hint="eastAsia"/>
                <w:sz w:val="18"/>
                <w:szCs w:val="18"/>
                <w:highlight w:val="none"/>
                <w:lang w:val="en-US" w:eastAsia="zh-CN"/>
              </w:rPr>
              <w:t>语法A</w:t>
            </w:r>
          </w:p>
        </w:tc>
        <w:tc>
          <w:tcPr>
            <w:tcW w:w="592" w:type="dxa"/>
            <w:vAlign w:val="center"/>
          </w:tcPr>
          <w:p w14:paraId="72413428">
            <w:pPr>
              <w:keepNext w:val="0"/>
              <w:keepLines w:val="0"/>
              <w:suppressLineNumbers w:val="0"/>
              <w:spacing w:before="0" w:beforeAutospacing="0" w:after="0" w:afterAutospacing="0"/>
              <w:ind w:left="0" w:right="0"/>
              <w:rPr>
                <w:rFonts w:hint="eastAsia" w:ascii="宋体" w:hAnsi="宋体" w:eastAsia="宋体" w:cs="宋体"/>
                <w:kern w:val="2"/>
                <w:sz w:val="18"/>
                <w:szCs w:val="18"/>
                <w:highlight w:val="none"/>
                <w:lang w:val="en-US" w:eastAsia="zh-CN" w:bidi="ar-SA"/>
              </w:rPr>
            </w:pPr>
            <w:r>
              <w:rPr>
                <w:rFonts w:hint="eastAsia"/>
                <w:sz w:val="18"/>
                <w:szCs w:val="18"/>
                <w:highlight w:val="none"/>
              </w:rPr>
              <w:t xml:space="preserve">2.0 </w:t>
            </w:r>
          </w:p>
        </w:tc>
        <w:tc>
          <w:tcPr>
            <w:tcW w:w="1176" w:type="dxa"/>
            <w:vAlign w:val="center"/>
          </w:tcPr>
          <w:p w14:paraId="34F7D57F">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highlight w:val="none"/>
                <w:lang w:val="en-US" w:eastAsia="zh-CN" w:bidi="ar-SA"/>
              </w:rPr>
            </w:pPr>
            <w:r>
              <w:rPr>
                <w:rFonts w:hint="eastAsia"/>
                <w:sz w:val="18"/>
                <w:szCs w:val="18"/>
                <w:highlight w:val="none"/>
              </w:rPr>
              <w:t>36</w:t>
            </w:r>
          </w:p>
        </w:tc>
        <w:tc>
          <w:tcPr>
            <w:tcW w:w="2113" w:type="dxa"/>
            <w:vAlign w:val="center"/>
          </w:tcPr>
          <w:p w14:paraId="25D457A6">
            <w:pPr>
              <w:keepNext w:val="0"/>
              <w:keepLines w:val="0"/>
              <w:suppressLineNumbers w:val="0"/>
              <w:spacing w:before="0" w:beforeAutospacing="0" w:after="0" w:afterAutospacing="0"/>
              <w:ind w:left="0" w:right="0"/>
              <w:jc w:val="center"/>
              <w:rPr>
                <w:rFonts w:hint="eastAsia" w:asciiTheme="minorEastAsia" w:hAnsiTheme="minorEastAsia"/>
                <w:sz w:val="18"/>
                <w:szCs w:val="18"/>
                <w:highlight w:val="none"/>
              </w:rPr>
            </w:pPr>
            <w:r>
              <w:rPr>
                <w:rFonts w:hint="eastAsia" w:asciiTheme="minorEastAsia" w:hAnsiTheme="minorEastAsia"/>
                <w:sz w:val="18"/>
                <w:szCs w:val="18"/>
                <w:highlight w:val="none"/>
              </w:rPr>
              <w:t>通过课程学</w:t>
            </w:r>
            <w:r>
              <w:rPr>
                <w:rFonts w:hint="eastAsia" w:asciiTheme="minorEastAsia" w:hAnsiTheme="minorEastAsia"/>
                <w:sz w:val="18"/>
                <w:szCs w:val="18"/>
                <w:highlight w:val="none"/>
                <w:lang w:val="en-US" w:eastAsia="zh-CN"/>
              </w:rPr>
              <w:t>习，</w:t>
            </w:r>
            <w:r>
              <w:rPr>
                <w:rFonts w:hint="eastAsia" w:asciiTheme="minorEastAsia" w:hAnsiTheme="minorEastAsia"/>
                <w:sz w:val="18"/>
                <w:szCs w:val="18"/>
                <w:highlight w:val="none"/>
              </w:rPr>
              <w:t>使学生初步认识英语语法体系；能辨析一些近似用法，消除误解，加深理解和应用；能掌握重点和难点；</w:t>
            </w:r>
            <w:r>
              <w:rPr>
                <w:rFonts w:hint="eastAsia" w:asciiTheme="minorEastAsia" w:hAnsiTheme="minorEastAsia"/>
                <w:sz w:val="18"/>
                <w:szCs w:val="18"/>
                <w:highlight w:val="none"/>
                <w:lang w:val="en-US" w:eastAsia="zh-CN"/>
              </w:rPr>
              <w:t>使</w:t>
            </w:r>
            <w:r>
              <w:rPr>
                <w:rFonts w:hint="eastAsia" w:asciiTheme="minorEastAsia" w:hAnsiTheme="minorEastAsia"/>
                <w:sz w:val="18"/>
                <w:szCs w:val="18"/>
                <w:highlight w:val="none"/>
              </w:rPr>
              <w:t>学生对时态、语态、虚拟语气及从句有更全面和深入的认识，并用于阅读、口语、写作和翻译中。</w:t>
            </w:r>
          </w:p>
          <w:p w14:paraId="1FEB56F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Bidi"/>
                <w:kern w:val="2"/>
                <w:sz w:val="18"/>
                <w:szCs w:val="18"/>
                <w:highlight w:val="none"/>
                <w:lang w:val="en-US" w:eastAsia="zh-CN" w:bidi="ar-SA"/>
              </w:rPr>
            </w:pPr>
            <w:r>
              <w:rPr>
                <w:rFonts w:hint="eastAsia" w:asciiTheme="minorEastAsia" w:hAnsiTheme="minorEastAsia"/>
                <w:sz w:val="18"/>
                <w:szCs w:val="18"/>
                <w:highlight w:val="none"/>
              </w:rPr>
              <w:t>在教学过程中，在要求学生掌握专业知识和技能的同时，积极引导学生职业素养、职业道德的提高。培养自主学习的意识；培养认真负责的工作态度、严谨细致的工作作风；培养团结、协作的团队精神；培养学生交流时使用语言的灵活性和准确性。</w:t>
            </w:r>
          </w:p>
        </w:tc>
        <w:tc>
          <w:tcPr>
            <w:tcW w:w="2002" w:type="dxa"/>
            <w:vAlign w:val="center"/>
          </w:tcPr>
          <w:p w14:paraId="45C34638">
            <w:pPr>
              <w:keepNext w:val="0"/>
              <w:keepLines w:val="0"/>
              <w:suppressLineNumbers w:val="0"/>
              <w:spacing w:before="0" w:beforeAutospacing="0" w:after="0" w:afterAutospacing="0"/>
              <w:ind w:left="0" w:right="0"/>
              <w:jc w:val="center"/>
              <w:rPr>
                <w:rFonts w:hint="eastAsia" w:asciiTheme="minorEastAsia" w:hAnsiTheme="minorEastAsia"/>
                <w:sz w:val="18"/>
                <w:szCs w:val="18"/>
                <w:highlight w:val="none"/>
              </w:rPr>
            </w:pPr>
            <w:r>
              <w:rPr>
                <w:rFonts w:hint="eastAsia" w:asciiTheme="minorEastAsia" w:hAnsiTheme="minorEastAsia"/>
                <w:sz w:val="18"/>
                <w:szCs w:val="18"/>
                <w:highlight w:val="none"/>
                <w:lang w:val="en-US" w:eastAsia="zh-CN"/>
              </w:rPr>
              <w:t>本课程的</w:t>
            </w:r>
            <w:r>
              <w:rPr>
                <w:rFonts w:hint="eastAsia" w:asciiTheme="minorEastAsia" w:hAnsiTheme="minorEastAsia"/>
                <w:sz w:val="18"/>
                <w:szCs w:val="18"/>
                <w:highlight w:val="none"/>
              </w:rPr>
              <w:t>主要教学内容有语法知识的核心章节</w:t>
            </w:r>
            <w:r>
              <w:rPr>
                <w:rFonts w:hint="eastAsia" w:asciiTheme="minorEastAsia" w:hAnsiTheme="minorEastAsia"/>
                <w:sz w:val="18"/>
                <w:szCs w:val="18"/>
                <w:highlight w:val="none"/>
                <w:lang w:eastAsia="zh-CN"/>
              </w:rPr>
              <w:t>，</w:t>
            </w:r>
            <w:r>
              <w:rPr>
                <w:rFonts w:hint="eastAsia" w:asciiTheme="minorEastAsia" w:hAnsiTheme="minorEastAsia"/>
                <w:sz w:val="18"/>
                <w:szCs w:val="18"/>
                <w:highlight w:val="none"/>
                <w:lang w:val="en-US" w:eastAsia="zh-CN"/>
              </w:rPr>
              <w:t>包括</w:t>
            </w:r>
            <w:r>
              <w:rPr>
                <w:rFonts w:hint="eastAsia" w:asciiTheme="minorEastAsia" w:hAnsiTheme="minorEastAsia"/>
                <w:sz w:val="18"/>
                <w:szCs w:val="18"/>
                <w:highlight w:val="none"/>
              </w:rPr>
              <w:t>句子结构</w:t>
            </w:r>
          </w:p>
          <w:p w14:paraId="66B0598D">
            <w:pPr>
              <w:keepNext w:val="0"/>
              <w:keepLines w:val="0"/>
              <w:suppressLineNumbers w:val="0"/>
              <w:spacing w:before="0" w:beforeAutospacing="0" w:after="0" w:afterAutospacing="0"/>
              <w:ind w:left="0" w:right="0"/>
              <w:jc w:val="both"/>
              <w:rPr>
                <w:rFonts w:hint="eastAsia" w:asciiTheme="minorEastAsia" w:hAnsiTheme="minorEastAsia"/>
                <w:sz w:val="18"/>
                <w:szCs w:val="18"/>
                <w:highlight w:val="none"/>
                <w:lang w:eastAsia="zh-CN"/>
              </w:rPr>
            </w:pPr>
            <w:r>
              <w:rPr>
                <w:rFonts w:hint="eastAsia" w:asciiTheme="minorEastAsia" w:hAnsiTheme="minorEastAsia"/>
                <w:sz w:val="18"/>
                <w:szCs w:val="18"/>
                <w:highlight w:val="none"/>
                <w:lang w:eastAsia="zh-CN"/>
              </w:rPr>
              <w:t>、</w:t>
            </w:r>
            <w:r>
              <w:rPr>
                <w:rFonts w:hint="eastAsia" w:asciiTheme="minorEastAsia" w:hAnsiTheme="minorEastAsia"/>
                <w:sz w:val="18"/>
                <w:szCs w:val="18"/>
                <w:highlight w:val="none"/>
              </w:rPr>
              <w:t>名词属格</w:t>
            </w:r>
            <w:r>
              <w:rPr>
                <w:rFonts w:hint="eastAsia" w:asciiTheme="minorEastAsia" w:hAnsiTheme="minorEastAsia"/>
                <w:sz w:val="18"/>
                <w:szCs w:val="18"/>
                <w:highlight w:val="none"/>
                <w:lang w:eastAsia="zh-CN"/>
              </w:rPr>
              <w:t>、</w:t>
            </w:r>
            <w:r>
              <w:rPr>
                <w:rFonts w:hint="eastAsia" w:asciiTheme="minorEastAsia" w:hAnsiTheme="minorEastAsia"/>
                <w:sz w:val="18"/>
                <w:szCs w:val="18"/>
                <w:highlight w:val="none"/>
              </w:rPr>
              <w:t>冠词</w:t>
            </w:r>
            <w:r>
              <w:rPr>
                <w:rFonts w:hint="eastAsia" w:asciiTheme="minorEastAsia" w:hAnsiTheme="minorEastAsia"/>
                <w:sz w:val="18"/>
                <w:szCs w:val="18"/>
                <w:highlight w:val="none"/>
                <w:lang w:eastAsia="zh-CN"/>
              </w:rPr>
              <w:t>、</w:t>
            </w:r>
            <w:r>
              <w:rPr>
                <w:rFonts w:hint="eastAsia" w:asciiTheme="minorEastAsia" w:hAnsiTheme="minorEastAsia"/>
                <w:sz w:val="18"/>
                <w:szCs w:val="18"/>
                <w:highlight w:val="none"/>
              </w:rPr>
              <w:t>代词</w:t>
            </w:r>
            <w:r>
              <w:rPr>
                <w:rFonts w:hint="eastAsia" w:asciiTheme="minorEastAsia" w:hAnsiTheme="minorEastAsia"/>
                <w:sz w:val="18"/>
                <w:szCs w:val="18"/>
                <w:highlight w:val="none"/>
                <w:lang w:eastAsia="zh-CN"/>
              </w:rPr>
              <w:t>、</w:t>
            </w:r>
            <w:r>
              <w:rPr>
                <w:rFonts w:hint="eastAsia" w:asciiTheme="minorEastAsia" w:hAnsiTheme="minorEastAsia"/>
                <w:sz w:val="18"/>
                <w:szCs w:val="18"/>
                <w:highlight w:val="none"/>
              </w:rPr>
              <w:t>主谓一致</w:t>
            </w:r>
            <w:r>
              <w:rPr>
                <w:rFonts w:hint="eastAsia" w:asciiTheme="minorEastAsia" w:hAnsiTheme="minorEastAsia"/>
                <w:sz w:val="18"/>
                <w:szCs w:val="18"/>
                <w:highlight w:val="none"/>
                <w:lang w:eastAsia="zh-CN"/>
              </w:rPr>
              <w:t>、</w:t>
            </w:r>
            <w:r>
              <w:rPr>
                <w:rFonts w:hint="eastAsia" w:asciiTheme="minorEastAsia" w:hAnsiTheme="minorEastAsia"/>
                <w:sz w:val="18"/>
                <w:szCs w:val="18"/>
                <w:highlight w:val="none"/>
              </w:rPr>
              <w:t>非谓语动词</w:t>
            </w:r>
            <w:r>
              <w:rPr>
                <w:rFonts w:hint="eastAsia" w:asciiTheme="minorEastAsia" w:hAnsiTheme="minorEastAsia"/>
                <w:sz w:val="18"/>
                <w:szCs w:val="18"/>
                <w:highlight w:val="none"/>
                <w:lang w:eastAsia="zh-CN"/>
              </w:rPr>
              <w:t>、</w:t>
            </w:r>
            <w:r>
              <w:rPr>
                <w:rFonts w:hint="eastAsia" w:asciiTheme="minorEastAsia" w:hAnsiTheme="minorEastAsia"/>
                <w:sz w:val="18"/>
                <w:szCs w:val="18"/>
                <w:highlight w:val="none"/>
              </w:rPr>
              <w:t>动词时态</w:t>
            </w:r>
            <w:r>
              <w:rPr>
                <w:rFonts w:hint="eastAsia" w:asciiTheme="minorEastAsia" w:hAnsiTheme="minorEastAsia"/>
                <w:sz w:val="18"/>
                <w:szCs w:val="18"/>
                <w:highlight w:val="none"/>
                <w:lang w:eastAsia="zh-CN"/>
              </w:rPr>
              <w:t>、</w:t>
            </w:r>
            <w:r>
              <w:rPr>
                <w:rFonts w:hint="eastAsia" w:asciiTheme="minorEastAsia" w:hAnsiTheme="minorEastAsia"/>
                <w:sz w:val="18"/>
                <w:szCs w:val="18"/>
                <w:highlight w:val="none"/>
              </w:rPr>
              <w:t>动词语态</w:t>
            </w:r>
            <w:r>
              <w:rPr>
                <w:rFonts w:hint="eastAsia" w:asciiTheme="minorEastAsia" w:hAnsiTheme="minorEastAsia"/>
                <w:sz w:val="18"/>
                <w:szCs w:val="18"/>
                <w:highlight w:val="none"/>
                <w:lang w:eastAsia="zh-CN"/>
              </w:rPr>
              <w:t>、</w:t>
            </w:r>
            <w:r>
              <w:rPr>
                <w:rFonts w:hint="eastAsia" w:asciiTheme="minorEastAsia" w:hAnsiTheme="minorEastAsia"/>
                <w:sz w:val="18"/>
                <w:szCs w:val="18"/>
                <w:highlight w:val="none"/>
              </w:rPr>
              <w:t>虚拟语气</w:t>
            </w:r>
            <w:r>
              <w:rPr>
                <w:rFonts w:hint="eastAsia" w:asciiTheme="minorEastAsia" w:hAnsiTheme="minorEastAsia"/>
                <w:sz w:val="18"/>
                <w:szCs w:val="18"/>
                <w:highlight w:val="none"/>
                <w:lang w:eastAsia="zh-CN"/>
              </w:rPr>
              <w:t>、</w:t>
            </w:r>
            <w:r>
              <w:rPr>
                <w:rFonts w:hint="eastAsia" w:asciiTheme="minorEastAsia" w:hAnsiTheme="minorEastAsia"/>
                <w:sz w:val="18"/>
                <w:szCs w:val="18"/>
                <w:highlight w:val="none"/>
              </w:rPr>
              <w:t>从句</w:t>
            </w:r>
            <w:r>
              <w:rPr>
                <w:rFonts w:hint="eastAsia" w:asciiTheme="minorEastAsia" w:hAnsiTheme="minorEastAsia"/>
                <w:sz w:val="18"/>
                <w:szCs w:val="18"/>
                <w:highlight w:val="none"/>
                <w:lang w:eastAsia="zh-CN"/>
              </w:rPr>
              <w:t>。</w:t>
            </w:r>
          </w:p>
          <w:p w14:paraId="2E6655AF">
            <w:pPr>
              <w:keepNext w:val="0"/>
              <w:keepLines w:val="0"/>
              <w:suppressLineNumbers w:val="0"/>
              <w:spacing w:before="0" w:beforeAutospacing="0" w:after="0" w:afterAutospacing="0"/>
              <w:ind w:left="0" w:right="0"/>
              <w:jc w:val="both"/>
              <w:rPr>
                <w:rFonts w:hint="eastAsia" w:asciiTheme="minorEastAsia" w:hAnsiTheme="minorEastAsia"/>
                <w:sz w:val="18"/>
                <w:szCs w:val="18"/>
                <w:highlight w:val="none"/>
                <w:lang w:eastAsia="zh-CN"/>
              </w:rPr>
            </w:pPr>
            <w:r>
              <w:rPr>
                <w:rFonts w:hint="eastAsia" w:asciiTheme="minorEastAsia" w:hAnsiTheme="minorEastAsia"/>
                <w:sz w:val="18"/>
                <w:szCs w:val="18"/>
                <w:highlight w:val="none"/>
                <w:lang w:eastAsia="zh-CN"/>
              </w:rPr>
              <w:t>本课程以讲授传统词法、句法为主线，使学生初步认识英语语法体系，能辨析一些近似用法，消除误解，加深理解和应用；能掌握重点和难点；对时态、语态、虚拟语气及从句有更全面和深入的认识；提高运用英语的能力。</w:t>
            </w:r>
          </w:p>
          <w:p w14:paraId="7CE6EC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Bidi"/>
                <w:kern w:val="2"/>
                <w:sz w:val="18"/>
                <w:szCs w:val="18"/>
                <w:highlight w:val="yellow"/>
                <w:lang w:val="en-US" w:eastAsia="zh-CN" w:bidi="ar-SA"/>
              </w:rPr>
            </w:pPr>
            <w:r>
              <w:rPr>
                <w:rFonts w:hint="eastAsia" w:asciiTheme="minorEastAsia" w:hAnsiTheme="minorEastAsia"/>
                <w:sz w:val="18"/>
                <w:szCs w:val="18"/>
                <w:highlight w:val="none"/>
              </w:rPr>
              <w:t>课程考核方式为考查。</w:t>
            </w:r>
          </w:p>
        </w:tc>
        <w:tc>
          <w:tcPr>
            <w:tcW w:w="580" w:type="dxa"/>
            <w:vAlign w:val="center"/>
          </w:tcPr>
          <w:p w14:paraId="5C1EBA75">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5BDF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47EDE299">
            <w:pPr>
              <w:keepNext w:val="0"/>
              <w:keepLines w:val="0"/>
              <w:suppressLineNumbers w:val="0"/>
              <w:spacing w:before="0" w:beforeAutospacing="0" w:after="0" w:afterAutospacing="0"/>
              <w:ind w:left="0" w:right="0"/>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5</w:t>
            </w:r>
          </w:p>
        </w:tc>
        <w:tc>
          <w:tcPr>
            <w:tcW w:w="1858" w:type="dxa"/>
            <w:vAlign w:val="center"/>
          </w:tcPr>
          <w:p w14:paraId="6C1A67DA">
            <w:pPr>
              <w:keepNext w:val="0"/>
              <w:keepLines w:val="0"/>
              <w:suppressLineNumbers w:val="0"/>
              <w:spacing w:before="0" w:beforeAutospacing="0" w:after="0" w:afterAutospacing="0"/>
              <w:ind w:left="0" w:right="0"/>
              <w:rPr>
                <w:rFonts w:hint="eastAsia" w:ascii="宋体" w:hAnsi="宋体" w:cs="宋体" w:eastAsiaTheme="minorEastAsia"/>
                <w:kern w:val="2"/>
                <w:sz w:val="18"/>
                <w:szCs w:val="18"/>
                <w:lang w:val="en-US" w:eastAsia="zh-CN" w:bidi="ar-SA"/>
              </w:rPr>
            </w:pPr>
            <w:r>
              <w:rPr>
                <w:rFonts w:hint="eastAsia"/>
                <w:sz w:val="18"/>
                <w:szCs w:val="18"/>
              </w:rPr>
              <w:t>英语写作</w:t>
            </w:r>
            <w:r>
              <w:rPr>
                <w:rFonts w:hint="eastAsia"/>
                <w:sz w:val="18"/>
                <w:szCs w:val="18"/>
                <w:lang w:val="en-US" w:eastAsia="zh-CN"/>
              </w:rPr>
              <w:t>A</w:t>
            </w:r>
          </w:p>
        </w:tc>
        <w:tc>
          <w:tcPr>
            <w:tcW w:w="592" w:type="dxa"/>
            <w:vAlign w:val="center"/>
          </w:tcPr>
          <w:p w14:paraId="5D737856">
            <w:pPr>
              <w:keepNext w:val="0"/>
              <w:keepLines w:val="0"/>
              <w:suppressLineNumbers w:val="0"/>
              <w:spacing w:before="0" w:beforeAutospacing="0" w:after="0" w:afterAutospacing="0"/>
              <w:ind w:left="0" w:right="0"/>
              <w:rPr>
                <w:rFonts w:hint="eastAsia" w:ascii="宋体" w:hAnsi="宋体" w:eastAsia="宋体" w:cs="宋体"/>
                <w:kern w:val="2"/>
                <w:sz w:val="18"/>
                <w:szCs w:val="18"/>
                <w:lang w:val="en-US" w:eastAsia="zh-CN" w:bidi="ar-SA"/>
              </w:rPr>
            </w:pPr>
            <w:r>
              <w:rPr>
                <w:rFonts w:hint="eastAsia"/>
                <w:sz w:val="18"/>
                <w:szCs w:val="18"/>
                <w:lang w:val="en-US" w:eastAsia="zh-CN"/>
              </w:rPr>
              <w:t>2</w:t>
            </w:r>
            <w:r>
              <w:rPr>
                <w:rFonts w:hint="eastAsia"/>
                <w:sz w:val="18"/>
                <w:szCs w:val="18"/>
              </w:rPr>
              <w:t xml:space="preserve">.0 </w:t>
            </w:r>
          </w:p>
        </w:tc>
        <w:tc>
          <w:tcPr>
            <w:tcW w:w="1176" w:type="dxa"/>
            <w:vAlign w:val="center"/>
          </w:tcPr>
          <w:p w14:paraId="1E44EEE3">
            <w:pPr>
              <w:keepNext w:val="0"/>
              <w:keepLines w:val="0"/>
              <w:suppressLineNumbers w:val="0"/>
              <w:spacing w:before="0" w:beforeAutospacing="0" w:after="0" w:afterAutospacing="0"/>
              <w:ind w:left="0" w:right="0"/>
              <w:jc w:val="center"/>
              <w:rPr>
                <w:rFonts w:hint="default" w:ascii="宋体" w:hAnsi="宋体" w:eastAsia="宋体" w:cs="宋体"/>
                <w:kern w:val="2"/>
                <w:sz w:val="18"/>
                <w:szCs w:val="18"/>
                <w:lang w:val="en-US" w:eastAsia="zh-CN" w:bidi="ar-SA"/>
              </w:rPr>
            </w:pPr>
            <w:r>
              <w:rPr>
                <w:rFonts w:hint="eastAsia" w:eastAsia="宋体"/>
                <w:sz w:val="18"/>
                <w:szCs w:val="18"/>
                <w:lang w:val="en-US" w:eastAsia="zh-CN"/>
              </w:rPr>
              <w:t>36</w:t>
            </w:r>
          </w:p>
        </w:tc>
        <w:tc>
          <w:tcPr>
            <w:tcW w:w="2113" w:type="dxa"/>
            <w:vAlign w:val="center"/>
          </w:tcPr>
          <w:p w14:paraId="69C67282">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w:t>
            </w:r>
            <w:r>
              <w:rPr>
                <w:rFonts w:hint="eastAsia" w:asciiTheme="minorEastAsia" w:hAnsiTheme="minorEastAsia"/>
                <w:sz w:val="18"/>
                <w:szCs w:val="18"/>
                <w:lang w:eastAsia="zh-CN"/>
              </w:rPr>
              <w:t>本课程旨在通过英语的词、句、段的及文章的特点分析入手，让学生了解并掌握英文写作的用词、句子结构及段落、篇章的特点，再让学生通过范文的阅读和自己的写作实践比较系统地掌握英语写作基础知识和基本技巧，比较熟悉地写作各种英语应用文，提高书面表达能力，力求做到用词准确、语法正确、表达符合英语的习惯；通过教学给学生打下具有扎实的英语书面表达基本功，为培养商务英语复合型人才奠定基础</w:t>
            </w:r>
            <w:r>
              <w:rPr>
                <w:rFonts w:hint="eastAsia" w:asciiTheme="minorEastAsia" w:hAnsiTheme="minorEastAsia"/>
                <w:sz w:val="18"/>
                <w:szCs w:val="18"/>
              </w:rPr>
              <w:t>。</w:t>
            </w:r>
          </w:p>
          <w:p w14:paraId="239383C1">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 </w:t>
            </w:r>
          </w:p>
          <w:p w14:paraId="5E96AC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Bidi"/>
                <w:kern w:val="2"/>
                <w:sz w:val="18"/>
                <w:szCs w:val="18"/>
                <w:lang w:val="en-US" w:eastAsia="zh-CN" w:bidi="ar-SA"/>
              </w:rPr>
            </w:pPr>
          </w:p>
        </w:tc>
        <w:tc>
          <w:tcPr>
            <w:tcW w:w="2002" w:type="dxa"/>
            <w:vAlign w:val="center"/>
          </w:tcPr>
          <w:p w14:paraId="4DCB18AE">
            <w:pPr>
              <w:keepNext w:val="0"/>
              <w:keepLines w:val="0"/>
              <w:suppressLineNumbers w:val="0"/>
              <w:spacing w:before="0" w:beforeAutospacing="0" w:after="0" w:afterAutospacing="0"/>
              <w:ind w:left="0" w:right="0"/>
              <w:rPr>
                <w:rFonts w:hint="eastAsia" w:asciiTheme="minorEastAsia" w:hAnsiTheme="minorEastAsia"/>
                <w:sz w:val="18"/>
                <w:szCs w:val="18"/>
                <w:lang w:eastAsia="zh-CN"/>
              </w:rPr>
            </w:pPr>
            <w:r>
              <w:rPr>
                <w:rFonts w:hint="eastAsia" w:asciiTheme="minorEastAsia" w:hAnsiTheme="minorEastAsia"/>
                <w:sz w:val="18"/>
                <w:szCs w:val="18"/>
                <w:lang w:eastAsia="zh-CN"/>
              </w:rPr>
              <w:t>本课程的学习内容包括写作文稿的基本规范和要求、写作的措辞和修辞格、英语句子的成分及句子类型、如何写标准的英语锻炼、掌握应用文尤其是便条分类及要求、文章的篇章结构和写作手段、说明文的写法、议论文的写作要求和要点、记叙文的概念及主要特点、信函的格式及主要组成部分等。</w:t>
            </w:r>
          </w:p>
          <w:p w14:paraId="3D182C14">
            <w:pPr>
              <w:keepNext w:val="0"/>
              <w:keepLines w:val="0"/>
              <w:suppressLineNumbers w:val="0"/>
              <w:spacing w:before="0" w:beforeAutospacing="0" w:after="0" w:afterAutospacing="0"/>
              <w:ind w:left="0" w:right="0"/>
              <w:rPr>
                <w:rFonts w:hint="eastAsia" w:asciiTheme="minorEastAsia" w:hAnsiTheme="minorEastAsia" w:eastAsiaTheme="minorEastAsia"/>
                <w:sz w:val="18"/>
                <w:szCs w:val="18"/>
                <w:lang w:eastAsia="zh-CN"/>
              </w:rPr>
            </w:pPr>
            <w:r>
              <w:rPr>
                <w:rFonts w:hint="eastAsia" w:asciiTheme="minorEastAsia" w:hAnsiTheme="minorEastAsia"/>
                <w:sz w:val="18"/>
                <w:szCs w:val="18"/>
              </w:rPr>
              <w:t>本</w:t>
            </w:r>
            <w:r>
              <w:rPr>
                <w:rFonts w:hint="eastAsia" w:asciiTheme="minorEastAsia" w:hAnsiTheme="minorEastAsia"/>
                <w:sz w:val="18"/>
                <w:szCs w:val="18"/>
                <w:lang w:eastAsia="zh-CN"/>
              </w:rPr>
              <w:t>课程要求学生重点掌握如何选词、组句和段落的写作特点以及常见的应用文写作，重点掌握段落的写作方法和技巧，了解常见的应用文写作的格式和语言特点。学生重点掌握文章的写作方法和技巧，了解常用的修辞手法等。</w:t>
            </w:r>
          </w:p>
          <w:p w14:paraId="60800F84">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课程考核方式为考查。</w:t>
            </w:r>
          </w:p>
        </w:tc>
        <w:tc>
          <w:tcPr>
            <w:tcW w:w="580" w:type="dxa"/>
            <w:vAlign w:val="center"/>
          </w:tcPr>
          <w:p w14:paraId="58B31CE5">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72A5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68614B43">
            <w:pPr>
              <w:keepNext w:val="0"/>
              <w:keepLines w:val="0"/>
              <w:suppressLineNumbers w:val="0"/>
              <w:spacing w:before="0" w:beforeAutospacing="0" w:after="0" w:afterAutospacing="0"/>
              <w:ind w:left="0" w:right="0"/>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6</w:t>
            </w:r>
          </w:p>
        </w:tc>
        <w:tc>
          <w:tcPr>
            <w:tcW w:w="1858" w:type="dxa"/>
            <w:vAlign w:val="center"/>
          </w:tcPr>
          <w:p w14:paraId="17E0DD68">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sz w:val="18"/>
                <w:szCs w:val="18"/>
              </w:rPr>
              <w:t>综合商务英语A★</w:t>
            </w:r>
          </w:p>
        </w:tc>
        <w:tc>
          <w:tcPr>
            <w:tcW w:w="592" w:type="dxa"/>
            <w:vAlign w:val="center"/>
          </w:tcPr>
          <w:p w14:paraId="731EB329">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sz w:val="18"/>
                <w:szCs w:val="18"/>
                <w:lang w:val="en-US" w:eastAsia="zh-CN"/>
              </w:rPr>
              <w:t>4</w:t>
            </w:r>
            <w:r>
              <w:rPr>
                <w:rFonts w:hint="eastAsia"/>
                <w:sz w:val="18"/>
                <w:szCs w:val="18"/>
              </w:rPr>
              <w:t>.0</w:t>
            </w:r>
          </w:p>
        </w:tc>
        <w:tc>
          <w:tcPr>
            <w:tcW w:w="1176" w:type="dxa"/>
            <w:vAlign w:val="center"/>
          </w:tcPr>
          <w:p w14:paraId="459EBA1B">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eastAsia="宋体"/>
                <w:sz w:val="18"/>
                <w:szCs w:val="18"/>
                <w:lang w:val="en-US" w:eastAsia="zh-CN"/>
              </w:rPr>
              <w:t>72</w:t>
            </w:r>
          </w:p>
        </w:tc>
        <w:tc>
          <w:tcPr>
            <w:tcW w:w="2113" w:type="dxa"/>
            <w:vAlign w:val="center"/>
          </w:tcPr>
          <w:p w14:paraId="55036968">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通过课程的学习，一方面让学生掌握一些未来工作所需要的基本商务知识和技能，为其进一步深入学习商务知识打下基础。另一方面帮助学生扩展商务词汇，在商务的语境下自由而充分地运用英语进行交流。总而言之，无论学生是想从这门课程中学习商务知识，还是想练习商务英语表达，都能够从中受益。</w:t>
            </w:r>
          </w:p>
        </w:tc>
        <w:tc>
          <w:tcPr>
            <w:tcW w:w="2002" w:type="dxa"/>
            <w:vAlign w:val="center"/>
          </w:tcPr>
          <w:p w14:paraId="7942621C">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包括十个单元的内容，每章的主要内容都是以基本的商业行为为主线，从企业的开始创建到经验管理，系统的培养学习者对各种商业情境的认知和理解，训练其从事相关商务活动的基本能力。主要商务理论知识包括商业环境、企业家精神、发现商机、创建企业、组织结构、员工招聘与培训、员工激励、企业文化、生产与产品、市场营销、财务管理、企业融资、企业社会责任、进入国际市场、电子商务。</w:t>
            </w:r>
          </w:p>
          <w:p w14:paraId="4EA98A26">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采取线上线下结合的教学方式，充分运用翻转课堂的理念。学生将通过观看线上教师讲授视频、完成作业练习及线下课堂小组活动、分享交流等多种方式循序渐进地了解商务基础理论和知识，提高商务英语表达和沟通能力，为未来的学习和工作打好基础。</w:t>
            </w:r>
          </w:p>
          <w:p w14:paraId="4B512D50">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课程考核方式为考试。</w:t>
            </w:r>
          </w:p>
        </w:tc>
        <w:tc>
          <w:tcPr>
            <w:tcW w:w="580" w:type="dxa"/>
            <w:vAlign w:val="center"/>
          </w:tcPr>
          <w:p w14:paraId="045816FE">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5CE7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6795BEFA">
            <w:pPr>
              <w:keepNext w:val="0"/>
              <w:keepLines w:val="0"/>
              <w:suppressLineNumbers w:val="0"/>
              <w:spacing w:before="0" w:beforeAutospacing="0" w:after="0" w:afterAutospacing="0"/>
              <w:ind w:left="0" w:right="0"/>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7</w:t>
            </w:r>
          </w:p>
        </w:tc>
        <w:tc>
          <w:tcPr>
            <w:tcW w:w="1858" w:type="dxa"/>
            <w:vAlign w:val="center"/>
          </w:tcPr>
          <w:p w14:paraId="4C16B6CC">
            <w:pPr>
              <w:keepNext w:val="0"/>
              <w:keepLines w:val="0"/>
              <w:suppressLineNumbers w:val="0"/>
              <w:spacing w:before="0" w:beforeAutospacing="0" w:after="240" w:afterAutospacing="0"/>
              <w:ind w:left="0" w:right="0"/>
              <w:rPr>
                <w:rFonts w:hint="eastAsia" w:ascii="宋体" w:hAnsi="宋体" w:eastAsia="宋体" w:cs="宋体"/>
                <w:kern w:val="2"/>
                <w:sz w:val="18"/>
                <w:szCs w:val="18"/>
                <w:lang w:val="en-US" w:eastAsia="zh-CN" w:bidi="ar-SA"/>
              </w:rPr>
            </w:pPr>
            <w:r>
              <w:rPr>
                <w:rFonts w:hint="eastAsia"/>
                <w:sz w:val="18"/>
                <w:szCs w:val="18"/>
                <w:lang w:val="en-US" w:eastAsia="zh-CN"/>
              </w:rPr>
              <w:t>进出口业务A</w:t>
            </w:r>
            <w:r>
              <w:rPr>
                <w:rFonts w:hint="eastAsia"/>
                <w:sz w:val="18"/>
                <w:szCs w:val="18"/>
              </w:rPr>
              <w:t>★</w:t>
            </w:r>
          </w:p>
        </w:tc>
        <w:tc>
          <w:tcPr>
            <w:tcW w:w="592" w:type="dxa"/>
            <w:vAlign w:val="center"/>
          </w:tcPr>
          <w:p w14:paraId="626BBBF5">
            <w:pPr>
              <w:keepNext w:val="0"/>
              <w:keepLines w:val="0"/>
              <w:suppressLineNumbers w:val="0"/>
              <w:spacing w:before="0" w:beforeAutospacing="0" w:after="0" w:afterAutospacing="0"/>
              <w:ind w:left="0" w:right="0"/>
              <w:rPr>
                <w:rFonts w:hint="eastAsia" w:ascii="宋体" w:hAnsi="宋体" w:eastAsia="宋体" w:cs="宋体"/>
                <w:kern w:val="2"/>
                <w:sz w:val="18"/>
                <w:szCs w:val="18"/>
                <w:lang w:val="en-US" w:eastAsia="zh-CN" w:bidi="ar-SA"/>
              </w:rPr>
            </w:pPr>
            <w:r>
              <w:rPr>
                <w:rFonts w:hint="eastAsia"/>
                <w:sz w:val="18"/>
                <w:szCs w:val="18"/>
              </w:rPr>
              <w:t xml:space="preserve">4.0 </w:t>
            </w:r>
          </w:p>
        </w:tc>
        <w:tc>
          <w:tcPr>
            <w:tcW w:w="1176" w:type="dxa"/>
            <w:vAlign w:val="center"/>
          </w:tcPr>
          <w:p w14:paraId="7FFBA7F3">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sz w:val="18"/>
                <w:szCs w:val="18"/>
              </w:rPr>
              <w:t>72</w:t>
            </w:r>
          </w:p>
        </w:tc>
        <w:tc>
          <w:tcPr>
            <w:tcW w:w="2113" w:type="dxa"/>
            <w:vAlign w:val="center"/>
          </w:tcPr>
          <w:p w14:paraId="643980B4">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通过课程的学习，掌握进出口业务活动中所涉及到的信用证、发票、装箱单、订舱委托书、产地证、保险单、提单、汇票等各种单据和证书的缮制和审核。通过课程学习，学习者能具备外贸单证员的职业素质、职业能力和专业知识，熟悉外贸单证工作中收证、审证、制单、审单、交单、归档业务流程；能根据外贸合同履行过程中各个业务环节的需要独立完成审证、制单、审单、交单归档一系列的外贸单证工作；能自觉维护国家利益和民族利益，在对外交往中不卑不亢，展现新时代青年风采；能明确在国际贸易活动中的法律底线，保护自己并处理好法律风险；能把握买卖双方在国际贸易活动中的行为及动机，尊重外方的宗教、法律、知识产权、文化及惯例。课程学习结束后，学习者有能力参加“全国外经贸单证专业证书考试”并取得外贸行业的专业证书。</w:t>
            </w:r>
          </w:p>
        </w:tc>
        <w:tc>
          <w:tcPr>
            <w:tcW w:w="2002" w:type="dxa"/>
            <w:vAlign w:val="center"/>
          </w:tcPr>
          <w:p w14:paraId="6162B5A9">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包括岗前培训；分析信用证；审核与修改信用证；缮制商业发票；缮制包装单据；缮制订舱委托书；缮制原产地证；缮制保险单据；缮制运输单据；缮制附属单据；缮制汇票；交单归档；缮制开证申请书；审核单据；缮制主要进口单证。</w:t>
            </w:r>
          </w:p>
          <w:p w14:paraId="5D91843F">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的设计坚持以外贸单证工作从业人员的综合职业能力培养为目标，以职业教育项目课程开发原则为指导，以校企合作为路径，与行业企业合作共同开发与设计。课程设计的理念为：以外贸单证员岗位职业标准为依据制定课程标准；以岗位任务对职业能力要求为核心设计课程内容；以企业真实项目为载体设计能力训练项目；以任务驱动、能力训练为核心设计教学方法；以过程性考核为主线设计考核方案。</w:t>
            </w:r>
          </w:p>
          <w:p w14:paraId="6BA9FDCE">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课程考核方式为考试。</w:t>
            </w:r>
          </w:p>
        </w:tc>
        <w:tc>
          <w:tcPr>
            <w:tcW w:w="580" w:type="dxa"/>
            <w:vAlign w:val="center"/>
          </w:tcPr>
          <w:p w14:paraId="35F95F63">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1F4D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4A94C6B0">
            <w:pPr>
              <w:keepNext w:val="0"/>
              <w:keepLines w:val="0"/>
              <w:suppressLineNumbers w:val="0"/>
              <w:spacing w:before="0" w:beforeAutospacing="0" w:after="0" w:afterAutospacing="0"/>
              <w:ind w:left="0" w:right="0"/>
              <w:rPr>
                <w:rFonts w:hint="eastAsia" w:asciiTheme="minorEastAsia" w:hAnsiTheme="minorEastAsia" w:eastAsiaTheme="minorEastAsia"/>
                <w:sz w:val="18"/>
                <w:szCs w:val="18"/>
                <w:lang w:eastAsia="zh-CN"/>
              </w:rPr>
            </w:pPr>
            <w:r>
              <w:rPr>
                <w:rFonts w:hint="eastAsia" w:asciiTheme="minorEastAsia" w:hAnsiTheme="minorEastAsia"/>
                <w:sz w:val="18"/>
                <w:szCs w:val="18"/>
                <w:lang w:val="en-US" w:eastAsia="zh-CN"/>
              </w:rPr>
              <w:t>8</w:t>
            </w:r>
          </w:p>
        </w:tc>
        <w:tc>
          <w:tcPr>
            <w:tcW w:w="1858" w:type="dxa"/>
            <w:vAlign w:val="center"/>
          </w:tcPr>
          <w:p w14:paraId="4AD18F55">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sz w:val="18"/>
                <w:szCs w:val="18"/>
              </w:rPr>
              <w:t>商</w:t>
            </w:r>
            <w:r>
              <w:rPr>
                <w:rFonts w:hint="eastAsia"/>
                <w:sz w:val="18"/>
                <w:szCs w:val="18"/>
                <w:lang w:val="en-US" w:eastAsia="zh-CN"/>
              </w:rPr>
              <w:t>贸</w:t>
            </w:r>
            <w:r>
              <w:rPr>
                <w:rFonts w:hint="eastAsia"/>
                <w:sz w:val="18"/>
                <w:szCs w:val="18"/>
              </w:rPr>
              <w:t>函电A★</w:t>
            </w:r>
          </w:p>
        </w:tc>
        <w:tc>
          <w:tcPr>
            <w:tcW w:w="592" w:type="dxa"/>
            <w:vAlign w:val="center"/>
          </w:tcPr>
          <w:p w14:paraId="107B5826">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sz w:val="18"/>
                <w:szCs w:val="18"/>
              </w:rPr>
              <w:t xml:space="preserve">4.0 </w:t>
            </w:r>
          </w:p>
        </w:tc>
        <w:tc>
          <w:tcPr>
            <w:tcW w:w="1176" w:type="dxa"/>
            <w:vAlign w:val="center"/>
          </w:tcPr>
          <w:p w14:paraId="718EF642">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sz w:val="18"/>
                <w:szCs w:val="18"/>
              </w:rPr>
              <w:t>72</w:t>
            </w:r>
          </w:p>
        </w:tc>
        <w:tc>
          <w:tcPr>
            <w:tcW w:w="2113" w:type="dxa"/>
            <w:vAlign w:val="center"/>
          </w:tcPr>
          <w:p w14:paraId="4101596D">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通过课程的学习，帮助学生掌握对外贸易工作中书写业务函电的技巧和方法，为学生今后可能从事的外经贸工作打下良好的书面表达基础， 以适应外经贸工作过程中与国外客户进行联络的实际业务需要。 本课程的内容主要包括商务信函的基本格式，商务信函的写作原则和各种商务信函的 内容、语言特点和表达方式，包括询盘、报盘、还盘、订货、付款、装运、保险以及索赔和理赔等。 此外，课程的每一章都附有样信，通过对样信的分析帮助学生加深对课程内容的掌握。</w:t>
            </w:r>
          </w:p>
        </w:tc>
        <w:tc>
          <w:tcPr>
            <w:tcW w:w="2002" w:type="dxa"/>
            <w:vAlign w:val="center"/>
          </w:tcPr>
          <w:p w14:paraId="5F60E1EB">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包括函电常用格式、专用词、惯用句型；建交函、询盘函、发盘函、还盘函、付款方式磋商函、成交函、催证函、改证函、分运与转运函、催促装船函、装船指示、装船通知、投保函、投诉函、索赔函、理赔函等外贸英语函电或其他商务领域的英语函电教学内容，主要培养学生在商务业务磋商中的英语书面表达能力。</w:t>
            </w:r>
          </w:p>
          <w:p w14:paraId="07038EA9">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课程考核方式为考查。</w:t>
            </w:r>
          </w:p>
        </w:tc>
        <w:tc>
          <w:tcPr>
            <w:tcW w:w="580" w:type="dxa"/>
            <w:vAlign w:val="center"/>
          </w:tcPr>
          <w:p w14:paraId="20DD98A1">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568C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6" w:type="dxa"/>
            <w:vAlign w:val="center"/>
          </w:tcPr>
          <w:p w14:paraId="50D0AAB2">
            <w:pPr>
              <w:keepNext w:val="0"/>
              <w:keepLines w:val="0"/>
              <w:suppressLineNumbers w:val="0"/>
              <w:spacing w:before="0" w:beforeAutospacing="0" w:after="0" w:afterAutospacing="0"/>
              <w:ind w:left="0" w:right="0"/>
              <w:rPr>
                <w:rFonts w:hint="eastAsia" w:asciiTheme="minorEastAsia" w:hAnsiTheme="minorEastAsia" w:eastAsiaTheme="minorEastAsia"/>
                <w:sz w:val="18"/>
                <w:szCs w:val="18"/>
                <w:lang w:eastAsia="zh-CN"/>
              </w:rPr>
            </w:pPr>
            <w:r>
              <w:rPr>
                <w:rFonts w:hint="eastAsia" w:asciiTheme="minorEastAsia" w:hAnsiTheme="minorEastAsia"/>
                <w:sz w:val="18"/>
                <w:szCs w:val="18"/>
                <w:lang w:val="en-US" w:eastAsia="zh-CN"/>
              </w:rPr>
              <w:t>9</w:t>
            </w:r>
          </w:p>
        </w:tc>
        <w:tc>
          <w:tcPr>
            <w:tcW w:w="1858" w:type="dxa"/>
            <w:vAlign w:val="center"/>
          </w:tcPr>
          <w:p w14:paraId="1D2AD243">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sz w:val="18"/>
                <w:szCs w:val="18"/>
              </w:rPr>
              <w:t>商务英语翻译A★</w:t>
            </w:r>
          </w:p>
        </w:tc>
        <w:tc>
          <w:tcPr>
            <w:tcW w:w="592" w:type="dxa"/>
            <w:vAlign w:val="center"/>
          </w:tcPr>
          <w:p w14:paraId="02D15E42">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sz w:val="18"/>
                <w:szCs w:val="18"/>
              </w:rPr>
              <w:t xml:space="preserve">4.0 </w:t>
            </w:r>
          </w:p>
        </w:tc>
        <w:tc>
          <w:tcPr>
            <w:tcW w:w="1176" w:type="dxa"/>
            <w:vAlign w:val="center"/>
          </w:tcPr>
          <w:p w14:paraId="7176D0E9">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sz w:val="18"/>
                <w:szCs w:val="18"/>
              </w:rPr>
              <w:t>72</w:t>
            </w:r>
          </w:p>
        </w:tc>
        <w:tc>
          <w:tcPr>
            <w:tcW w:w="2113" w:type="dxa"/>
            <w:vAlign w:val="center"/>
          </w:tcPr>
          <w:p w14:paraId="5077796F">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向学生系统传授商务英语翻译的基本知识、国际商务活动的基本内容和特征，及商务活动的基本程序，通过大量实践，深入地理解商务英语的特点及其翻译策略，提高学生在商务领域内的笔译及口译能力。</w:t>
            </w:r>
          </w:p>
        </w:tc>
        <w:tc>
          <w:tcPr>
            <w:tcW w:w="2002" w:type="dxa"/>
            <w:vAlign w:val="center"/>
          </w:tcPr>
          <w:p w14:paraId="1DD50FE5">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包括翻译服务规范、翻译辅助工具；企业简介、产品介绍、宣传标语与广告、商标、名片、公关文稿、商务报告、商务信函、商务合同、与跨境新媒体相关的商务语篇翻译技巧等教学内容，主要培养学生在商务环境中的中英文互译能力。</w:t>
            </w:r>
          </w:p>
          <w:p w14:paraId="5A2930BD">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涵盖了一般对外商务推广及商务交往中所涉及到的基本翻译类型、翻译方法和翻译技巧，以培养学生翻译实践能力为核心，以商务英语专业知识及商务英语真实材料为基础，在大量实例训练中锻炼学生在商务语境下有效进行英汉、汉英互译、正确传达信息、顺畅开展交流的能力。</w:t>
            </w:r>
          </w:p>
          <w:p w14:paraId="09618F55">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课程考核方式为考试。</w:t>
            </w:r>
          </w:p>
        </w:tc>
        <w:tc>
          <w:tcPr>
            <w:tcW w:w="580" w:type="dxa"/>
            <w:vAlign w:val="center"/>
          </w:tcPr>
          <w:p w14:paraId="71FFE421">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43DD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283DD81A">
            <w:pPr>
              <w:keepNext w:val="0"/>
              <w:keepLines w:val="0"/>
              <w:suppressLineNumbers w:val="0"/>
              <w:spacing w:before="0" w:beforeAutospacing="0" w:after="0" w:afterAutospacing="0"/>
              <w:ind w:left="0" w:right="0"/>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10</w:t>
            </w:r>
          </w:p>
        </w:tc>
        <w:tc>
          <w:tcPr>
            <w:tcW w:w="1858" w:type="dxa"/>
            <w:vAlign w:val="center"/>
          </w:tcPr>
          <w:p w14:paraId="386396E6">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sz w:val="18"/>
                <w:szCs w:val="18"/>
              </w:rPr>
              <w:t>商务接待与谈判A★</w:t>
            </w:r>
          </w:p>
        </w:tc>
        <w:tc>
          <w:tcPr>
            <w:tcW w:w="592" w:type="dxa"/>
            <w:vAlign w:val="center"/>
          </w:tcPr>
          <w:p w14:paraId="3EDD5011">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sz w:val="18"/>
                <w:szCs w:val="18"/>
              </w:rPr>
              <w:t xml:space="preserve">4.0 </w:t>
            </w:r>
          </w:p>
        </w:tc>
        <w:tc>
          <w:tcPr>
            <w:tcW w:w="1176" w:type="dxa"/>
            <w:vAlign w:val="center"/>
          </w:tcPr>
          <w:p w14:paraId="5F117C35">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sz w:val="18"/>
                <w:szCs w:val="18"/>
              </w:rPr>
              <w:t>72</w:t>
            </w:r>
          </w:p>
        </w:tc>
        <w:tc>
          <w:tcPr>
            <w:tcW w:w="2113" w:type="dxa"/>
            <w:vAlign w:val="center"/>
          </w:tcPr>
          <w:p w14:paraId="6906641D">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本课程的学习使学生熟悉和理解商务沟通以及谈判的基本理论、基本程序、基本策略，同时使其树立正确的沟通理念和掌握基本的沟通方法、技巧及沟通艺术，了解商务活动的相关礼仪，并尽可能依据自身的性格和心理特征，初步形成自己的沟通和谈判风格，并将所学知识和实践结合，能够分析案例，解决现实问题，平衡处理沟通过程中遇到的错综复杂的风险、策略和利益关系等。</w:t>
            </w:r>
          </w:p>
        </w:tc>
        <w:tc>
          <w:tcPr>
            <w:tcW w:w="2002" w:type="dxa"/>
            <w:vAlign w:val="center"/>
          </w:tcPr>
          <w:p w14:paraId="5B88C608">
            <w:pPr>
              <w:keepNext w:val="0"/>
              <w:keepLines w:val="0"/>
              <w:suppressLineNumbers w:val="0"/>
              <w:spacing w:before="0" w:beforeAutospacing="0" w:after="0" w:afterAutospacing="0"/>
              <w:ind w:left="0" w:right="0"/>
              <w:rPr>
                <w:rFonts w:hint="default"/>
                <w:sz w:val="18"/>
                <w:szCs w:val="18"/>
              </w:rPr>
            </w:pPr>
            <w:r>
              <w:rPr>
                <w:rFonts w:hint="eastAsia" w:asciiTheme="minorEastAsia" w:hAnsiTheme="minorEastAsia"/>
                <w:sz w:val="18"/>
                <w:szCs w:val="18"/>
              </w:rPr>
              <w:t>本课程</w:t>
            </w:r>
            <w:r>
              <w:rPr>
                <w:rFonts w:hint="eastAsia"/>
                <w:sz w:val="18"/>
                <w:szCs w:val="18"/>
              </w:rPr>
              <w:t>包括与客户接待相关的计划制定、接送、酒店安排、致辞、公司及产品介绍、工厂参观、会议策划、招待、城市观光；与商务谈判相关的商品数量、品质、价格、付款条件、包装、装运、保险、商检、代理、索赔等教学内容，主要培养学生运用英语进行涉外客户接待与谈判的能力。</w:t>
            </w:r>
          </w:p>
          <w:p w14:paraId="7B7EFD4D">
            <w:pPr>
              <w:keepNext w:val="0"/>
              <w:keepLines w:val="0"/>
              <w:suppressLineNumbers w:val="0"/>
              <w:spacing w:before="0" w:beforeAutospacing="0" w:after="0" w:afterAutospacing="0"/>
              <w:ind w:left="0" w:right="0"/>
              <w:rPr>
                <w:rFonts w:hint="default"/>
                <w:sz w:val="18"/>
                <w:szCs w:val="18"/>
              </w:rPr>
            </w:pPr>
            <w:r>
              <w:rPr>
                <w:rFonts w:hint="eastAsia"/>
                <w:sz w:val="18"/>
                <w:szCs w:val="18"/>
              </w:rPr>
              <w:t>本课程要求以岗位能力培养为课程设计的出发点，课程教学突出职业能力的全面培养，将理论教学和实训环节衔接和融合。以职业能力为标准，已工作任务为主线确定课程内容，按岗位能力培养目标设计课程实训模块和项目，以典型工作任务为依托，围绕任务的完成设计教学活动，以课程教学内容和实际出发，设计考核目标和方式。</w:t>
            </w:r>
          </w:p>
          <w:p w14:paraId="38FB375C">
            <w:pPr>
              <w:keepNext w:val="0"/>
              <w:keepLines w:val="0"/>
              <w:suppressLineNumbers w:val="0"/>
              <w:spacing w:before="0" w:beforeAutospacing="0" w:after="0" w:afterAutospacing="0"/>
              <w:ind w:left="0" w:right="0"/>
              <w:rPr>
                <w:rFonts w:hint="default"/>
                <w:sz w:val="18"/>
                <w:szCs w:val="18"/>
              </w:rPr>
            </w:pPr>
            <w:r>
              <w:rPr>
                <w:rFonts w:hint="eastAsia" w:asciiTheme="minorEastAsia" w:hAnsiTheme="minorEastAsia"/>
                <w:sz w:val="18"/>
                <w:szCs w:val="18"/>
              </w:rPr>
              <w:t>课程考核方式为考查。</w:t>
            </w:r>
          </w:p>
        </w:tc>
        <w:tc>
          <w:tcPr>
            <w:tcW w:w="580" w:type="dxa"/>
            <w:vAlign w:val="center"/>
          </w:tcPr>
          <w:p w14:paraId="725460E6">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0AF8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071030EF">
            <w:pPr>
              <w:keepNext w:val="0"/>
              <w:keepLines w:val="0"/>
              <w:suppressLineNumbers w:val="0"/>
              <w:spacing w:before="0" w:beforeAutospacing="0" w:after="0" w:afterAutospacing="0"/>
              <w:ind w:left="0" w:right="0"/>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11</w:t>
            </w:r>
          </w:p>
        </w:tc>
        <w:tc>
          <w:tcPr>
            <w:tcW w:w="1858" w:type="dxa"/>
            <w:vAlign w:val="center"/>
          </w:tcPr>
          <w:p w14:paraId="63B0A633">
            <w:pPr>
              <w:keepNext w:val="0"/>
              <w:keepLines w:val="0"/>
              <w:suppressLineNumbers w:val="0"/>
              <w:spacing w:before="0" w:beforeAutospacing="0" w:after="0" w:afterAutospacing="0"/>
              <w:ind w:left="0" w:right="0"/>
              <w:rPr>
                <w:rFonts w:hint="eastAsia" w:eastAsiaTheme="minorEastAsia"/>
                <w:sz w:val="18"/>
                <w:szCs w:val="18"/>
                <w:lang w:val="en-US" w:eastAsia="zh-CN"/>
              </w:rPr>
            </w:pPr>
            <w:r>
              <w:rPr>
                <w:rFonts w:hint="eastAsia"/>
                <w:sz w:val="18"/>
                <w:szCs w:val="18"/>
              </w:rPr>
              <w:t>行业技能项目化实训</w:t>
            </w:r>
            <w:r>
              <w:rPr>
                <w:rFonts w:hint="eastAsia"/>
                <w:sz w:val="18"/>
                <w:szCs w:val="18"/>
                <w:lang w:val="en-US" w:eastAsia="zh-CN"/>
              </w:rPr>
              <w:t>A</w:t>
            </w:r>
          </w:p>
        </w:tc>
        <w:tc>
          <w:tcPr>
            <w:tcW w:w="592" w:type="dxa"/>
            <w:vAlign w:val="center"/>
          </w:tcPr>
          <w:p w14:paraId="13A4CB6D">
            <w:pPr>
              <w:keepNext w:val="0"/>
              <w:keepLines w:val="0"/>
              <w:suppressLineNumbers w:val="0"/>
              <w:spacing w:before="0" w:beforeAutospacing="0" w:after="0" w:afterAutospacing="0"/>
              <w:ind w:left="0" w:right="0"/>
              <w:rPr>
                <w:rFonts w:hint="default" w:eastAsiaTheme="minorEastAsia"/>
                <w:sz w:val="18"/>
                <w:szCs w:val="18"/>
                <w:lang w:val="en-US" w:eastAsia="zh-CN"/>
              </w:rPr>
            </w:pPr>
            <w:r>
              <w:rPr>
                <w:rFonts w:hint="eastAsia"/>
                <w:sz w:val="18"/>
                <w:szCs w:val="18"/>
                <w:lang w:val="en-US" w:eastAsia="zh-CN"/>
              </w:rPr>
              <w:t>12.0</w:t>
            </w:r>
          </w:p>
        </w:tc>
        <w:tc>
          <w:tcPr>
            <w:tcW w:w="1176" w:type="dxa"/>
            <w:vAlign w:val="center"/>
          </w:tcPr>
          <w:p w14:paraId="6A419D01">
            <w:pPr>
              <w:keepNext w:val="0"/>
              <w:keepLines w:val="0"/>
              <w:suppressLineNumbers w:val="0"/>
              <w:spacing w:before="0" w:beforeAutospacing="0" w:after="0" w:afterAutospacing="0"/>
              <w:ind w:left="0" w:right="0"/>
              <w:jc w:val="center"/>
              <w:rPr>
                <w:rFonts w:hint="default" w:eastAsiaTheme="minorEastAsia"/>
                <w:sz w:val="18"/>
                <w:szCs w:val="18"/>
                <w:lang w:val="en-US" w:eastAsia="zh-CN"/>
              </w:rPr>
            </w:pPr>
            <w:r>
              <w:rPr>
                <w:rFonts w:hint="eastAsia"/>
                <w:sz w:val="18"/>
                <w:szCs w:val="18"/>
                <w:lang w:val="en-US" w:eastAsia="zh-CN"/>
              </w:rPr>
              <w:t>316</w:t>
            </w:r>
          </w:p>
        </w:tc>
        <w:tc>
          <w:tcPr>
            <w:tcW w:w="2113" w:type="dxa"/>
            <w:vAlign w:val="center"/>
          </w:tcPr>
          <w:p w14:paraId="5974B59B">
            <w:pPr>
              <w:keepNext w:val="0"/>
              <w:keepLines w:val="0"/>
              <w:suppressLineNumbers w:val="0"/>
              <w:spacing w:before="0" w:beforeAutospacing="0" w:after="0" w:afterAutospacing="0"/>
              <w:ind w:left="0" w:right="0"/>
              <w:rPr>
                <w:rFonts w:hint="eastAsia" w:asciiTheme="minorEastAsia" w:hAnsiTheme="minorEastAsia" w:eastAsiaTheme="minorEastAsia"/>
                <w:sz w:val="18"/>
                <w:szCs w:val="18"/>
                <w:lang w:eastAsia="zh-CN"/>
              </w:rPr>
            </w:pPr>
            <w:r>
              <w:rPr>
                <w:rFonts w:hint="eastAsia" w:asciiTheme="minorEastAsia" w:hAnsiTheme="minorEastAsia"/>
                <w:sz w:val="18"/>
                <w:szCs w:val="18"/>
                <w:lang w:eastAsia="zh-CN"/>
              </w:rPr>
              <w:t>本课程旨在培养学生在各种商务活动及日常业务中英语语言的应用能力。包括在一般商务活动及公务活动中运用英语进行国际商务沟通的能力，信息获取、整合及应用能力。</w:t>
            </w:r>
          </w:p>
        </w:tc>
        <w:tc>
          <w:tcPr>
            <w:tcW w:w="2002" w:type="dxa"/>
            <w:vAlign w:val="center"/>
          </w:tcPr>
          <w:p w14:paraId="2DE31C92">
            <w:pPr>
              <w:keepNext w:val="0"/>
              <w:keepLines w:val="0"/>
              <w:suppressLineNumbers w:val="0"/>
              <w:spacing w:before="0" w:beforeAutospacing="0" w:after="0" w:afterAutospacing="0"/>
              <w:ind w:left="0" w:right="0"/>
              <w:rPr>
                <w:rFonts w:hint="eastAsia" w:asciiTheme="minorEastAsia" w:hAnsiTheme="minorEastAsia" w:eastAsiaTheme="minorEastAsia"/>
                <w:sz w:val="18"/>
                <w:szCs w:val="18"/>
                <w:lang w:eastAsia="zh-CN"/>
              </w:rPr>
            </w:pPr>
            <w:r>
              <w:rPr>
                <w:rFonts w:hint="eastAsia" w:asciiTheme="minorEastAsia" w:hAnsiTheme="minorEastAsia"/>
                <w:sz w:val="18"/>
                <w:szCs w:val="18"/>
                <w:lang w:eastAsia="zh-CN"/>
              </w:rPr>
              <w:t>本课程包括进出口业务中涉及到的交易准备、外贸洽谈、订立合同、合同执行、包括备货、报检、催正、审证、租船订舱、保险、装运通知、制单结汇、核销退税等一系列进出贸易环节的综合实训。</w:t>
            </w:r>
          </w:p>
        </w:tc>
        <w:tc>
          <w:tcPr>
            <w:tcW w:w="580" w:type="dxa"/>
            <w:vAlign w:val="center"/>
          </w:tcPr>
          <w:p w14:paraId="4B818766">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03B3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74D1C0D7">
            <w:pPr>
              <w:keepNext w:val="0"/>
              <w:keepLines w:val="0"/>
              <w:suppressLineNumbers w:val="0"/>
              <w:spacing w:before="0" w:beforeAutospacing="0" w:after="0" w:afterAutospacing="0"/>
              <w:ind w:left="0" w:right="0"/>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12</w:t>
            </w:r>
          </w:p>
        </w:tc>
        <w:tc>
          <w:tcPr>
            <w:tcW w:w="1858" w:type="dxa"/>
            <w:vAlign w:val="center"/>
          </w:tcPr>
          <w:p w14:paraId="08B5649A">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sz w:val="18"/>
                <w:szCs w:val="18"/>
              </w:rPr>
              <w:t>毕业综合实训和生产（顶岗）实习A★</w:t>
            </w:r>
          </w:p>
        </w:tc>
        <w:tc>
          <w:tcPr>
            <w:tcW w:w="592" w:type="dxa"/>
            <w:vAlign w:val="center"/>
          </w:tcPr>
          <w:p w14:paraId="31B9FE8A">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sz w:val="18"/>
                <w:szCs w:val="18"/>
              </w:rPr>
              <w:t xml:space="preserve">15.0 </w:t>
            </w:r>
          </w:p>
        </w:tc>
        <w:tc>
          <w:tcPr>
            <w:tcW w:w="1176" w:type="dxa"/>
            <w:vAlign w:val="center"/>
          </w:tcPr>
          <w:p w14:paraId="5D0D92A0">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sz w:val="18"/>
                <w:szCs w:val="18"/>
              </w:rPr>
              <w:t>450</w:t>
            </w:r>
          </w:p>
        </w:tc>
        <w:tc>
          <w:tcPr>
            <w:tcW w:w="2113" w:type="dxa"/>
            <w:vAlign w:val="center"/>
          </w:tcPr>
          <w:p w14:paraId="011F15DE">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本课程的实践，培养学生综合运用所学英语语言、国际商务知识和技能分析问题、解决问题的能力，有助于学生更全面地了解社会、了解涉外商务活动、树立起理论联系实际、实事求是的工作作风和踏踏实实的工作态度；有助于检验学生所学理论知识在实际工作中的应用范围及适应程度，巩固和扩大所学专业知识；加强理论与实践相结合，培养实际操作能力，使学生能较快地适应工作，顺利地走上工作岗位。</w:t>
            </w:r>
          </w:p>
        </w:tc>
        <w:tc>
          <w:tcPr>
            <w:tcW w:w="2002" w:type="dxa"/>
            <w:vAlign w:val="center"/>
          </w:tcPr>
          <w:p w14:paraId="4A1C467C">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本课程包括企业事业单位公文的草拟、英文函电的草拟和发送、互联网信息查询、外事翻译、外贸跟单业务、办公室日常工作、客户接待和会议安排、产品介绍和推广等。</w:t>
            </w:r>
          </w:p>
          <w:p w14:paraId="3C634F3D">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要求学生在实习过程中做到“三勤”，每天撰写实习日志，每周上传周记，实习结束撰写实习报告，并让实习单位根据学生实习表现填写鉴定表并盖章。</w:t>
            </w:r>
          </w:p>
          <w:p w14:paraId="7338C1AE">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课程考核方式为考查。</w:t>
            </w:r>
          </w:p>
        </w:tc>
        <w:tc>
          <w:tcPr>
            <w:tcW w:w="580" w:type="dxa"/>
            <w:vAlign w:val="center"/>
          </w:tcPr>
          <w:p w14:paraId="12B13ABB">
            <w:pPr>
              <w:keepNext w:val="0"/>
              <w:keepLines w:val="0"/>
              <w:suppressLineNumbers w:val="0"/>
              <w:spacing w:before="0" w:beforeAutospacing="0" w:after="0" w:afterAutospacing="0"/>
              <w:ind w:left="0" w:right="0"/>
              <w:rPr>
                <w:rFonts w:hint="default" w:asciiTheme="minorEastAsia" w:hAnsiTheme="minorEastAsia"/>
                <w:sz w:val="18"/>
                <w:szCs w:val="18"/>
              </w:rPr>
            </w:pPr>
          </w:p>
        </w:tc>
      </w:tr>
    </w:tbl>
    <w:p w14:paraId="2EB2AF6C">
      <w:pPr>
        <w:keepNext/>
        <w:keepLines/>
        <w:spacing w:before="234" w:beforeLines="75" w:after="234" w:afterLines="75" w:line="280" w:lineRule="exact"/>
        <w:ind w:left="420" w:leftChars="200"/>
        <w:outlineLvl w:val="2"/>
        <w:rPr>
          <w:rFonts w:ascii="仿宋" w:hAnsi="仿宋" w:eastAsia="仿宋"/>
          <w:b/>
          <w:bCs/>
          <w:szCs w:val="32"/>
        </w:rPr>
      </w:pPr>
      <w:bookmarkStart w:id="16" w:name="_Toc89793279"/>
      <w:r>
        <w:rPr>
          <w:rFonts w:hint="eastAsia" w:ascii="仿宋" w:hAnsi="仿宋" w:eastAsia="仿宋"/>
          <w:b/>
          <w:bCs/>
          <w:szCs w:val="32"/>
        </w:rPr>
        <w:t>3.专业拓展课</w:t>
      </w:r>
      <w:bookmarkEnd w:id="16"/>
    </w:p>
    <w:p w14:paraId="74D79E92">
      <w:pPr>
        <w:ind w:firstLine="420" w:firstLineChars="200"/>
      </w:pPr>
      <w:r>
        <w:rPr>
          <w:rFonts w:hint="eastAsia"/>
        </w:rPr>
        <w:t>本专业开设的专业拓展课见表7。</w:t>
      </w:r>
    </w:p>
    <w:p w14:paraId="31272B8C">
      <w:pPr>
        <w:jc w:val="center"/>
      </w:pPr>
      <w:r>
        <w:rPr>
          <w:rFonts w:hint="eastAsia"/>
        </w:rPr>
        <w:t>表7</w:t>
      </w:r>
      <w:r>
        <w:t xml:space="preserve"> </w:t>
      </w:r>
      <w:r>
        <w:rPr>
          <w:rFonts w:hint="eastAsia"/>
        </w:rPr>
        <w:t>专业拓展课</w:t>
      </w:r>
    </w:p>
    <w:tbl>
      <w:tblPr>
        <w:tblStyle w:val="1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14:paraId="0B91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3465CC40">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序号</w:t>
            </w:r>
          </w:p>
        </w:tc>
        <w:tc>
          <w:tcPr>
            <w:tcW w:w="1858" w:type="dxa"/>
            <w:vAlign w:val="center"/>
          </w:tcPr>
          <w:p w14:paraId="4FEC8E7B">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14:paraId="639AD767">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学分</w:t>
            </w:r>
          </w:p>
        </w:tc>
        <w:tc>
          <w:tcPr>
            <w:tcW w:w="1176" w:type="dxa"/>
            <w:vAlign w:val="center"/>
          </w:tcPr>
          <w:p w14:paraId="06E21815">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学时</w:t>
            </w:r>
          </w:p>
        </w:tc>
        <w:tc>
          <w:tcPr>
            <w:tcW w:w="2113" w:type="dxa"/>
            <w:vAlign w:val="center"/>
          </w:tcPr>
          <w:p w14:paraId="3CBFDDCF">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14:paraId="21C10295">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14:paraId="1147D73E">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备注</w:t>
            </w:r>
          </w:p>
        </w:tc>
      </w:tr>
      <w:tr w14:paraId="4E52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1203714B">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858" w:type="dxa"/>
            <w:vAlign w:val="center"/>
          </w:tcPr>
          <w:p w14:paraId="7D84FBAA">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第二外语（初级日语）</w:t>
            </w:r>
          </w:p>
        </w:tc>
        <w:tc>
          <w:tcPr>
            <w:tcW w:w="592" w:type="dxa"/>
            <w:vAlign w:val="center"/>
          </w:tcPr>
          <w:p w14:paraId="7CBED389">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sz w:val="18"/>
                <w:szCs w:val="18"/>
              </w:rPr>
              <w:t>2.0</w:t>
            </w:r>
          </w:p>
        </w:tc>
        <w:tc>
          <w:tcPr>
            <w:tcW w:w="1176" w:type="dxa"/>
            <w:vAlign w:val="center"/>
          </w:tcPr>
          <w:p w14:paraId="7A1609E7">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tc>
        <w:tc>
          <w:tcPr>
            <w:tcW w:w="2113" w:type="dxa"/>
            <w:vAlign w:val="center"/>
          </w:tcPr>
          <w:p w14:paraId="326EE69C">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本课程的学习激发和培养学生学习日语的兴趣，使他们树立自信心，形成有效的学习策略，养成良好的学习习惯，掌握基本的语言知识和技能；培养学生观察、记忆、思维、想像等自主学习的能力和创新、合作精神；帮助学生了解中日文化的差异，拓展国际视野，培养爱国主义精神，树立健康的人生观。逐渐形成初步的综合语言运用能力，为终身学习和发展打下良好的基础。</w:t>
            </w:r>
          </w:p>
        </w:tc>
        <w:tc>
          <w:tcPr>
            <w:tcW w:w="2002" w:type="dxa"/>
            <w:vAlign w:val="center"/>
          </w:tcPr>
          <w:p w14:paraId="49351C9E">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包括日语的发音、文字和书写方法、声调与语调；日语中的12类品词、4大日语巨型特点及各种时态的变化规律；形式体言的用法、表示意志、打算的巨型以及表示邀请、建议的表达方法等；日语中的基本助词；用言的未然形、假定形、命令形的变化规律等十个单元内容。</w:t>
            </w:r>
          </w:p>
          <w:p w14:paraId="2AF8952C">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通过与教师、同学的共同活动，逐步掌握日语知识和技能，初步学会运用日语交际的过程，又是学生磨砺意志、发展思维、陶冶情操、拓展视野、丰富生活经历、发展个性、提高人文素养。</w:t>
            </w:r>
          </w:p>
          <w:p w14:paraId="77858293">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课程考核方式为考试。</w:t>
            </w:r>
          </w:p>
        </w:tc>
        <w:tc>
          <w:tcPr>
            <w:tcW w:w="580" w:type="dxa"/>
            <w:vAlign w:val="center"/>
          </w:tcPr>
          <w:p w14:paraId="591A2663">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288C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1B5AE299">
            <w:pPr>
              <w:keepNext w:val="0"/>
              <w:keepLines w:val="0"/>
              <w:suppressLineNumbers w:val="0"/>
              <w:spacing w:before="0" w:beforeAutospacing="0" w:after="0" w:afterAutospacing="0"/>
              <w:ind w:left="0" w:right="0"/>
              <w:jc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2</w:t>
            </w:r>
          </w:p>
        </w:tc>
        <w:tc>
          <w:tcPr>
            <w:tcW w:w="1858" w:type="dxa"/>
            <w:vAlign w:val="center"/>
          </w:tcPr>
          <w:p w14:paraId="7876962A">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商品直播销售</w:t>
            </w:r>
          </w:p>
        </w:tc>
        <w:tc>
          <w:tcPr>
            <w:tcW w:w="592" w:type="dxa"/>
            <w:vAlign w:val="center"/>
          </w:tcPr>
          <w:p w14:paraId="560B0D1A">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2.0</w:t>
            </w:r>
          </w:p>
        </w:tc>
        <w:tc>
          <w:tcPr>
            <w:tcW w:w="1176" w:type="dxa"/>
            <w:vAlign w:val="center"/>
          </w:tcPr>
          <w:p w14:paraId="0068EF27">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36</w:t>
            </w:r>
          </w:p>
        </w:tc>
        <w:tc>
          <w:tcPr>
            <w:tcW w:w="2113" w:type="dxa"/>
            <w:vAlign w:val="center"/>
          </w:tcPr>
          <w:p w14:paraId="75BF7E0F">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eastAsia="zh-CN"/>
              </w:rPr>
              <w:t>通过本课程的学习构建学生的完整专业知识结构，掌握电商直播的基本理论、方法和操作能力，掌握直播电商的筹划、运作、实施和评估，了解主要直播电商岗位和直播电商存在的风险，能够分析一些直播电商的案例，为构筑完整的电子商务专业知识和能力体系服务。</w:t>
            </w:r>
          </w:p>
        </w:tc>
        <w:tc>
          <w:tcPr>
            <w:tcW w:w="2002" w:type="dxa"/>
            <w:vAlign w:val="center"/>
          </w:tcPr>
          <w:p w14:paraId="45A6DCC0">
            <w:pPr>
              <w:keepNext w:val="0"/>
              <w:keepLines w:val="0"/>
              <w:suppressLineNumbers w:val="0"/>
              <w:spacing w:before="0" w:beforeAutospacing="0" w:after="0" w:afterAutospacing="0"/>
              <w:ind w:left="0" w:right="0"/>
              <w:rPr>
                <w:rFonts w:hint="eastAsia" w:asciiTheme="minorEastAsia" w:hAnsiTheme="minorEastAsia"/>
                <w:sz w:val="18"/>
                <w:szCs w:val="18"/>
                <w:lang w:eastAsia="zh-CN"/>
              </w:rPr>
            </w:pPr>
            <w:r>
              <w:rPr>
                <w:rFonts w:hint="eastAsia" w:asciiTheme="minorEastAsia" w:hAnsiTheme="minorEastAsia"/>
                <w:sz w:val="18"/>
                <w:szCs w:val="18"/>
                <w:lang w:eastAsia="zh-CN"/>
              </w:rPr>
              <w:t>本课程学习内容包括直播营销的平台选择、团队构建、主播打造、策划与筹备、商品规划、直播前的引流预告、直播营销的话术设计、直播间的氛围管理方法、直播间的商品介绍、直播间的促销设计、直播间的用户管理和直播结束后的复盘方法等。</w:t>
            </w:r>
          </w:p>
          <w:p w14:paraId="35285066">
            <w:pPr>
              <w:keepNext w:val="0"/>
              <w:keepLines w:val="0"/>
              <w:suppressLineNumbers w:val="0"/>
              <w:spacing w:before="0" w:beforeAutospacing="0" w:after="0" w:afterAutospacing="0"/>
              <w:ind w:left="0" w:right="0"/>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eastAsia="zh-CN"/>
              </w:rPr>
              <w:t>通过本课程的学习，学生能力了解直播营销的相关基础理论知识、熟悉直播前期的各环节准备工作，掌握直播前的引流技巧，掌握直播间操作基本技能，熟悉直播后的复盘方法等。</w:t>
            </w:r>
            <w:r>
              <w:rPr>
                <w:rFonts w:hint="eastAsia" w:asciiTheme="minorEastAsia" w:hAnsiTheme="minorEastAsia"/>
                <w:sz w:val="18"/>
                <w:szCs w:val="18"/>
              </w:rPr>
              <w:t>课程考核方式为考</w:t>
            </w:r>
            <w:r>
              <w:rPr>
                <w:rFonts w:hint="eastAsia" w:asciiTheme="minorEastAsia" w:hAnsiTheme="minorEastAsia"/>
                <w:sz w:val="18"/>
                <w:szCs w:val="18"/>
                <w:lang w:eastAsia="zh-CN"/>
              </w:rPr>
              <w:t>查。</w:t>
            </w:r>
          </w:p>
        </w:tc>
        <w:tc>
          <w:tcPr>
            <w:tcW w:w="580" w:type="dxa"/>
            <w:vAlign w:val="center"/>
          </w:tcPr>
          <w:p w14:paraId="7B087A9C">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2A23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0C42A3BE">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3</w:t>
            </w:r>
          </w:p>
        </w:tc>
        <w:tc>
          <w:tcPr>
            <w:tcW w:w="1858" w:type="dxa"/>
            <w:vAlign w:val="center"/>
          </w:tcPr>
          <w:p w14:paraId="49444CF8">
            <w:pPr>
              <w:keepNext w:val="0"/>
              <w:keepLines w:val="0"/>
              <w:suppressLineNumbers w:val="0"/>
              <w:spacing w:before="0" w:beforeAutospacing="0" w:after="0" w:afterAutospacing="0"/>
              <w:ind w:left="0" w:right="0"/>
              <w:rPr>
                <w:rFonts w:hint="eastAsia" w:asciiTheme="minorEastAsia" w:hAnsiTheme="minorEastAsia"/>
                <w:sz w:val="18"/>
                <w:szCs w:val="18"/>
                <w:lang w:eastAsia="zh-CN"/>
              </w:rPr>
            </w:pPr>
            <w:r>
              <w:rPr>
                <w:rFonts w:hint="eastAsia" w:asciiTheme="minorEastAsia" w:hAnsiTheme="minorEastAsia"/>
                <w:sz w:val="18"/>
                <w:szCs w:val="18"/>
                <w:lang w:eastAsia="zh-CN"/>
              </w:rPr>
              <w:t>市场营销</w:t>
            </w:r>
          </w:p>
        </w:tc>
        <w:tc>
          <w:tcPr>
            <w:tcW w:w="592" w:type="dxa"/>
            <w:vAlign w:val="center"/>
          </w:tcPr>
          <w:p w14:paraId="4BCA224D">
            <w:pPr>
              <w:keepNext w:val="0"/>
              <w:keepLines w:val="0"/>
              <w:suppressLineNumbers w:val="0"/>
              <w:spacing w:before="0" w:beforeAutospacing="0" w:after="0" w:afterAutospacing="0"/>
              <w:ind w:left="0" w:right="0"/>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4.0</w:t>
            </w:r>
          </w:p>
        </w:tc>
        <w:tc>
          <w:tcPr>
            <w:tcW w:w="1176" w:type="dxa"/>
            <w:vAlign w:val="center"/>
          </w:tcPr>
          <w:p w14:paraId="45551078">
            <w:pPr>
              <w:keepNext w:val="0"/>
              <w:keepLines w:val="0"/>
              <w:suppressLineNumbers w:val="0"/>
              <w:spacing w:before="0" w:beforeAutospacing="0" w:after="0" w:afterAutospacing="0"/>
              <w:ind w:left="0" w:right="0"/>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64</w:t>
            </w:r>
          </w:p>
        </w:tc>
        <w:tc>
          <w:tcPr>
            <w:tcW w:w="2113" w:type="dxa"/>
            <w:vAlign w:val="center"/>
          </w:tcPr>
          <w:p w14:paraId="4D1A8853">
            <w:pPr>
              <w:keepNext w:val="0"/>
              <w:keepLines w:val="0"/>
              <w:suppressLineNumbers w:val="0"/>
              <w:spacing w:before="0" w:beforeAutospacing="0" w:after="0" w:afterAutospacing="0"/>
              <w:ind w:left="0" w:right="0"/>
              <w:rPr>
                <w:rFonts w:hint="eastAsia" w:asciiTheme="minorEastAsia" w:hAnsiTheme="minorEastAsia"/>
                <w:sz w:val="18"/>
                <w:szCs w:val="18"/>
              </w:rPr>
            </w:pPr>
            <w:r>
              <w:rPr>
                <w:rFonts w:hint="eastAsia" w:asciiTheme="minorEastAsia" w:hAnsiTheme="minorEastAsia"/>
                <w:sz w:val="18"/>
                <w:szCs w:val="18"/>
              </w:rPr>
              <w:t>通过教学</w:t>
            </w:r>
            <w:r>
              <w:rPr>
                <w:rFonts w:hint="eastAsia" w:asciiTheme="minorEastAsia" w:hAnsiTheme="minorEastAsia"/>
                <w:sz w:val="18"/>
                <w:szCs w:val="18"/>
                <w:lang w:eastAsia="zh-CN"/>
              </w:rPr>
              <w:t>本课程</w:t>
            </w:r>
            <w:r>
              <w:rPr>
                <w:rFonts w:hint="eastAsia" w:asciiTheme="minorEastAsia" w:hAnsiTheme="minorEastAsia"/>
                <w:sz w:val="18"/>
                <w:szCs w:val="18"/>
              </w:rPr>
              <w:t>使学生完整、系统地掌握市场营销学的基本知识体系与研究方法，牢固树立以顾客为中心的市场营销观念，理解顾客满意的真正涵义，掌握市场营销学的基本原理、方法和技巧，学会分析市场，把握市场规律，从而在实践中有效地组织企业的营销活动。在掌握基本理论与方法的基础上，能够正确灵活运用营销的方法和手段，开展产品开发、生产、定价、分销、促销等一系列市场营销活动，分析客户需求，帮助企业有效地加强营销管理，不断更新观念，提高企业经营管理水平。</w:t>
            </w:r>
          </w:p>
          <w:p w14:paraId="2304FC9B">
            <w:pPr>
              <w:keepNext w:val="0"/>
              <w:keepLines w:val="0"/>
              <w:suppressLineNumbers w:val="0"/>
              <w:spacing w:before="0" w:beforeAutospacing="0" w:after="0" w:afterAutospacing="0"/>
              <w:ind w:left="0" w:right="0"/>
              <w:rPr>
                <w:rFonts w:hint="eastAsia" w:asciiTheme="minorEastAsia" w:hAnsiTheme="minorEastAsia"/>
                <w:sz w:val="18"/>
                <w:szCs w:val="18"/>
              </w:rPr>
            </w:pPr>
          </w:p>
        </w:tc>
        <w:tc>
          <w:tcPr>
            <w:tcW w:w="2002" w:type="dxa"/>
            <w:vAlign w:val="center"/>
          </w:tcPr>
          <w:p w14:paraId="06D34B69">
            <w:pPr>
              <w:keepNext w:val="0"/>
              <w:keepLines w:val="0"/>
              <w:suppressLineNumbers w:val="0"/>
              <w:spacing w:before="0" w:beforeAutospacing="0" w:after="0" w:afterAutospacing="0"/>
              <w:ind w:left="0" w:right="0"/>
              <w:rPr>
                <w:rFonts w:hint="eastAsia" w:asciiTheme="minorEastAsia" w:hAnsiTheme="minorEastAsia" w:eastAsiaTheme="minorEastAsia"/>
                <w:sz w:val="18"/>
                <w:szCs w:val="18"/>
                <w:lang w:eastAsia="zh-CN"/>
              </w:rPr>
            </w:pPr>
            <w:r>
              <w:rPr>
                <w:rFonts w:hint="eastAsia" w:asciiTheme="minorEastAsia" w:hAnsiTheme="minorEastAsia"/>
                <w:sz w:val="18"/>
                <w:szCs w:val="18"/>
                <w:lang w:eastAsia="zh-CN"/>
              </w:rPr>
              <w:t>本课程教学内容主要包括</w:t>
            </w:r>
            <w:r>
              <w:rPr>
                <w:rFonts w:hint="eastAsia" w:asciiTheme="minorEastAsia" w:hAnsiTheme="minorEastAsia"/>
                <w:sz w:val="18"/>
                <w:szCs w:val="18"/>
              </w:rPr>
              <w:t>市场和市场营销；市场营销学的产生和发展；市场营销学的相关理论及基本内容。</w:t>
            </w:r>
            <w:r>
              <w:rPr>
                <w:rFonts w:hint="eastAsia" w:asciiTheme="minorEastAsia" w:hAnsiTheme="minorEastAsia"/>
                <w:sz w:val="18"/>
                <w:szCs w:val="18"/>
                <w:lang w:eastAsia="zh-CN"/>
              </w:rPr>
              <w:t>本课程</w:t>
            </w:r>
            <w:r>
              <w:rPr>
                <w:rFonts w:hint="eastAsia" w:asciiTheme="minorEastAsia" w:hAnsiTheme="minorEastAsia"/>
                <w:sz w:val="18"/>
                <w:szCs w:val="18"/>
              </w:rPr>
              <w:t>要求教师具有较高的经济学和管理学的理论功底，并具有比较丰富的企业市场管理经验以及认真负责的教学态度。要求学生具有相关经济管理类学科的基础知识、积极的学习态度和勇于实践的品质</w:t>
            </w:r>
            <w:r>
              <w:rPr>
                <w:rFonts w:hint="eastAsia" w:asciiTheme="minorEastAsia" w:hAnsiTheme="minorEastAsia"/>
                <w:sz w:val="18"/>
                <w:szCs w:val="18"/>
                <w:lang w:eastAsia="zh-CN"/>
              </w:rPr>
              <w:t>，</w:t>
            </w:r>
            <w:r>
              <w:rPr>
                <w:rFonts w:hint="eastAsia" w:asciiTheme="minorEastAsia" w:hAnsiTheme="minorEastAsia"/>
                <w:sz w:val="18"/>
                <w:szCs w:val="18"/>
              </w:rPr>
              <w:t>能够正确认识课程的性质、任务及其研究对象，全面了解课程的体系、结构，对市场营销学有一个整体的认识。课程考核方式为考</w:t>
            </w:r>
            <w:r>
              <w:rPr>
                <w:rFonts w:hint="eastAsia" w:asciiTheme="minorEastAsia" w:hAnsiTheme="minorEastAsia"/>
                <w:sz w:val="18"/>
                <w:szCs w:val="18"/>
                <w:lang w:eastAsia="zh-CN"/>
              </w:rPr>
              <w:t>查。</w:t>
            </w:r>
          </w:p>
          <w:p w14:paraId="06C205B9">
            <w:pPr>
              <w:keepNext w:val="0"/>
              <w:keepLines w:val="0"/>
              <w:suppressLineNumbers w:val="0"/>
              <w:spacing w:before="0" w:beforeAutospacing="0" w:after="0" w:afterAutospacing="0"/>
              <w:ind w:left="0" w:right="0"/>
              <w:rPr>
                <w:rFonts w:hint="eastAsia" w:asciiTheme="minorEastAsia" w:hAnsiTheme="minorEastAsia"/>
                <w:sz w:val="18"/>
                <w:szCs w:val="18"/>
              </w:rPr>
            </w:pPr>
          </w:p>
        </w:tc>
        <w:tc>
          <w:tcPr>
            <w:tcW w:w="580" w:type="dxa"/>
            <w:vAlign w:val="center"/>
          </w:tcPr>
          <w:p w14:paraId="51366AA9">
            <w:pPr>
              <w:keepNext w:val="0"/>
              <w:keepLines w:val="0"/>
              <w:suppressLineNumbers w:val="0"/>
              <w:spacing w:before="0" w:beforeAutospacing="0" w:after="0" w:afterAutospacing="0"/>
              <w:ind w:left="0" w:right="0"/>
              <w:rPr>
                <w:rFonts w:hint="default" w:asciiTheme="minorEastAsia" w:hAnsiTheme="minorEastAsia"/>
                <w:sz w:val="18"/>
                <w:szCs w:val="18"/>
              </w:rPr>
            </w:pPr>
          </w:p>
        </w:tc>
      </w:tr>
      <w:tr w14:paraId="1C9B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14:paraId="62A2CA26">
            <w:pPr>
              <w:keepNext w:val="0"/>
              <w:keepLines w:val="0"/>
              <w:suppressLineNumbers w:val="0"/>
              <w:spacing w:before="0" w:beforeAutospacing="0" w:after="0" w:afterAutospacing="0"/>
              <w:ind w:left="0" w:right="0"/>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lang w:val="en-US" w:eastAsia="zh-CN"/>
              </w:rPr>
              <w:t>4</w:t>
            </w:r>
          </w:p>
        </w:tc>
        <w:tc>
          <w:tcPr>
            <w:tcW w:w="1858" w:type="dxa"/>
            <w:vAlign w:val="center"/>
          </w:tcPr>
          <w:p w14:paraId="1DC439A8">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国际商务礼仪</w:t>
            </w:r>
          </w:p>
        </w:tc>
        <w:tc>
          <w:tcPr>
            <w:tcW w:w="592" w:type="dxa"/>
            <w:vAlign w:val="center"/>
          </w:tcPr>
          <w:p w14:paraId="137B9272">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sz w:val="18"/>
                <w:szCs w:val="18"/>
              </w:rPr>
              <w:t>2.0</w:t>
            </w:r>
          </w:p>
        </w:tc>
        <w:tc>
          <w:tcPr>
            <w:tcW w:w="1176" w:type="dxa"/>
            <w:vAlign w:val="center"/>
          </w:tcPr>
          <w:p w14:paraId="5561F1BC">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tc>
        <w:tc>
          <w:tcPr>
            <w:tcW w:w="2113" w:type="dxa"/>
            <w:vAlign w:val="center"/>
          </w:tcPr>
          <w:p w14:paraId="142BF75A">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通过在课堂上练习商务活动过程中的各个环节的礼节要点，使学生学会有意识地正确地运用各种商务礼仪方法，提高自身的礼仪素质，在以后的实际工作和社会交往中能做到事事合乎礼仪，处处表现自如、得体，从而顺利完成各种商务活动。</w:t>
            </w:r>
          </w:p>
        </w:tc>
        <w:tc>
          <w:tcPr>
            <w:tcW w:w="2002" w:type="dxa"/>
            <w:vAlign w:val="center"/>
          </w:tcPr>
          <w:p w14:paraId="4E5D3E82">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本课程包括商务礼仪的概述、商务人员仪表设计、仪态设计商务活动礼仪、求职面试设计、职场办公礼仪等十个单元内容。</w:t>
            </w:r>
          </w:p>
          <w:p w14:paraId="1E18496C">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要求教师通过情境模拟、角色扮演和案例分析等教学方法，关注学生情商的培养，通过教学内容的合理编排和教学过程中的训练体验，提升学生的道德修养水平，提升审美品位，提升沟通能力和团队合作能力，对学生未来胜任岗位所必须的职业能力培养和职业素质起到重要支撑作用。课程考核方式为考查。</w:t>
            </w:r>
          </w:p>
        </w:tc>
        <w:tc>
          <w:tcPr>
            <w:tcW w:w="580" w:type="dxa"/>
            <w:vAlign w:val="center"/>
          </w:tcPr>
          <w:p w14:paraId="30ACA170">
            <w:pPr>
              <w:keepNext w:val="0"/>
              <w:keepLines w:val="0"/>
              <w:suppressLineNumbers w:val="0"/>
              <w:spacing w:before="0" w:beforeAutospacing="0" w:after="0" w:afterAutospacing="0"/>
              <w:ind w:left="0" w:right="0"/>
              <w:rPr>
                <w:rFonts w:hint="default" w:asciiTheme="minorEastAsia" w:hAnsiTheme="minorEastAsia"/>
                <w:sz w:val="18"/>
                <w:szCs w:val="18"/>
              </w:rPr>
            </w:pPr>
          </w:p>
        </w:tc>
      </w:tr>
    </w:tbl>
    <w:p w14:paraId="475D0969">
      <w:pPr>
        <w:keepNext/>
        <w:keepLines/>
        <w:snapToGrid w:val="0"/>
        <w:spacing w:before="100" w:beforeAutospacing="1" w:after="100" w:afterAutospacing="1"/>
        <w:ind w:left="420" w:leftChars="200"/>
        <w:outlineLvl w:val="1"/>
        <w:rPr>
          <w:rFonts w:eastAsia="楷体" w:asciiTheme="majorHAnsi" w:hAnsiTheme="majorHAnsi" w:cstheme="majorBidi"/>
          <w:bCs/>
          <w:sz w:val="28"/>
          <w:szCs w:val="32"/>
        </w:rPr>
      </w:pPr>
      <w:bookmarkStart w:id="17" w:name="_Toc89793280"/>
      <w:r>
        <w:rPr>
          <w:rFonts w:hint="eastAsia" w:eastAsia="楷体" w:asciiTheme="majorHAnsi" w:hAnsiTheme="majorHAnsi" w:cstheme="majorBidi"/>
          <w:bCs/>
          <w:sz w:val="28"/>
          <w:szCs w:val="32"/>
        </w:rPr>
        <w:t>（三）各类课程学时学分比例表</w:t>
      </w:r>
      <w:bookmarkEnd w:id="17"/>
    </w:p>
    <w:p w14:paraId="026E4BAC">
      <w:pPr>
        <w:ind w:firstLine="420" w:firstLineChars="200"/>
      </w:pPr>
      <w:r>
        <w:rPr>
          <w:rFonts w:hint="eastAsia"/>
        </w:rPr>
        <w:t>本专业各类课程学时学分比例见表8。</w:t>
      </w:r>
    </w:p>
    <w:p w14:paraId="594B0F8E">
      <w:pPr>
        <w:jc w:val="center"/>
      </w:pPr>
      <w:r>
        <w:rPr>
          <w:rFonts w:hint="eastAsia"/>
        </w:rPr>
        <w:t>表8</w:t>
      </w:r>
      <w:r>
        <w:t xml:space="preserve"> </w:t>
      </w:r>
      <w:r>
        <w:rPr>
          <w:rFonts w:hint="eastAsia"/>
        </w:rPr>
        <w:t>各类课程学时学分比例表</w:t>
      </w:r>
    </w:p>
    <w:tbl>
      <w:tblPr>
        <w:tblStyle w:val="1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84"/>
        <w:gridCol w:w="1324"/>
        <w:gridCol w:w="1065"/>
        <w:gridCol w:w="1065"/>
        <w:gridCol w:w="1065"/>
        <w:gridCol w:w="1065"/>
        <w:gridCol w:w="1476"/>
      </w:tblGrid>
      <w:tr w14:paraId="68F3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gridSpan w:val="3"/>
            <w:vMerge w:val="restart"/>
            <w:vAlign w:val="center"/>
          </w:tcPr>
          <w:p w14:paraId="5AF4DD8C">
            <w:pPr>
              <w:keepNext w:val="0"/>
              <w:keepLines w:val="0"/>
              <w:suppressLineNumbers w:val="0"/>
              <w:spacing w:before="0" w:beforeAutospacing="0" w:after="0" w:afterAutospacing="0" w:line="600" w:lineRule="auto"/>
              <w:ind w:left="0" w:right="0"/>
              <w:jc w:val="center"/>
              <w:rPr>
                <w:rFonts w:hint="default" w:ascii="宋体" w:hAnsi="宋体"/>
                <w:sz w:val="18"/>
                <w:szCs w:val="18"/>
                <w:highlight w:val="yellow"/>
              </w:rPr>
            </w:pPr>
            <w:r>
              <w:rPr>
                <w:rFonts w:hint="eastAsia" w:ascii="宋体" w:hAnsi="宋体"/>
                <w:sz w:val="18"/>
                <w:szCs w:val="18"/>
                <w:highlight w:val="none"/>
              </w:rPr>
              <w:t>课程类别</w:t>
            </w:r>
          </w:p>
        </w:tc>
        <w:tc>
          <w:tcPr>
            <w:tcW w:w="2130" w:type="dxa"/>
            <w:gridSpan w:val="2"/>
            <w:vAlign w:val="center"/>
          </w:tcPr>
          <w:p w14:paraId="4C4B98AF">
            <w:pPr>
              <w:keepNext w:val="0"/>
              <w:keepLines w:val="0"/>
              <w:suppressLineNumbers w:val="0"/>
              <w:spacing w:before="0" w:beforeAutospacing="0" w:after="0" w:afterAutospacing="0" w:line="400" w:lineRule="exact"/>
              <w:ind w:left="0" w:right="0"/>
              <w:jc w:val="center"/>
              <w:rPr>
                <w:rFonts w:hint="default" w:ascii="宋体" w:hAnsi="宋体"/>
                <w:sz w:val="18"/>
                <w:szCs w:val="18"/>
                <w:highlight w:val="none"/>
              </w:rPr>
            </w:pPr>
            <w:r>
              <w:rPr>
                <w:rFonts w:hint="eastAsia" w:ascii="宋体" w:hAnsi="宋体"/>
                <w:sz w:val="18"/>
                <w:szCs w:val="18"/>
                <w:highlight w:val="none"/>
              </w:rPr>
              <w:t>小计</w:t>
            </w:r>
          </w:p>
        </w:tc>
        <w:tc>
          <w:tcPr>
            <w:tcW w:w="2130" w:type="dxa"/>
            <w:gridSpan w:val="2"/>
            <w:vAlign w:val="center"/>
          </w:tcPr>
          <w:p w14:paraId="550FE9E8">
            <w:pPr>
              <w:keepNext w:val="0"/>
              <w:keepLines w:val="0"/>
              <w:suppressLineNumbers w:val="0"/>
              <w:spacing w:before="0" w:beforeAutospacing="0" w:after="0" w:afterAutospacing="0" w:line="400" w:lineRule="exact"/>
              <w:ind w:left="0" w:right="0"/>
              <w:jc w:val="center"/>
              <w:rPr>
                <w:rFonts w:hint="default" w:ascii="宋体" w:hAnsi="宋体"/>
                <w:sz w:val="18"/>
                <w:szCs w:val="18"/>
                <w:highlight w:val="none"/>
              </w:rPr>
            </w:pPr>
            <w:r>
              <w:rPr>
                <w:rFonts w:hint="eastAsia" w:ascii="宋体" w:hAnsi="宋体"/>
                <w:sz w:val="18"/>
                <w:szCs w:val="18"/>
                <w:highlight w:val="none"/>
              </w:rPr>
              <w:t>小计</w:t>
            </w:r>
          </w:p>
        </w:tc>
        <w:tc>
          <w:tcPr>
            <w:tcW w:w="1476" w:type="dxa"/>
            <w:vAlign w:val="center"/>
          </w:tcPr>
          <w:p w14:paraId="56A9E830">
            <w:pPr>
              <w:keepNext w:val="0"/>
              <w:keepLines w:val="0"/>
              <w:suppressLineNumbers w:val="0"/>
              <w:spacing w:before="0" w:beforeAutospacing="0" w:after="0" w:afterAutospacing="0" w:line="400" w:lineRule="exact"/>
              <w:ind w:left="0" w:right="0"/>
              <w:jc w:val="center"/>
              <w:rPr>
                <w:rFonts w:hint="default" w:ascii="宋体" w:hAnsi="宋体"/>
                <w:sz w:val="18"/>
                <w:szCs w:val="18"/>
                <w:highlight w:val="none"/>
              </w:rPr>
            </w:pPr>
            <w:r>
              <w:rPr>
                <w:rFonts w:hint="eastAsia" w:ascii="宋体" w:hAnsi="宋体"/>
                <w:sz w:val="18"/>
                <w:szCs w:val="18"/>
                <w:highlight w:val="none"/>
              </w:rPr>
              <w:t>备注</w:t>
            </w:r>
          </w:p>
        </w:tc>
      </w:tr>
      <w:tr w14:paraId="7302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gridSpan w:val="3"/>
            <w:vMerge w:val="continue"/>
            <w:vAlign w:val="center"/>
          </w:tcPr>
          <w:p w14:paraId="3E560E3A">
            <w:pPr>
              <w:keepNext w:val="0"/>
              <w:keepLines w:val="0"/>
              <w:suppressLineNumbers w:val="0"/>
              <w:spacing w:before="0" w:beforeAutospacing="0" w:after="0" w:afterAutospacing="0" w:line="400" w:lineRule="exact"/>
              <w:ind w:left="0" w:right="0"/>
              <w:jc w:val="center"/>
              <w:rPr>
                <w:rFonts w:hint="default" w:ascii="宋体" w:hAnsi="宋体"/>
                <w:sz w:val="18"/>
                <w:szCs w:val="18"/>
                <w:highlight w:val="yellow"/>
              </w:rPr>
            </w:pPr>
          </w:p>
        </w:tc>
        <w:tc>
          <w:tcPr>
            <w:tcW w:w="1065" w:type="dxa"/>
            <w:vAlign w:val="center"/>
          </w:tcPr>
          <w:p w14:paraId="3C1EFF41">
            <w:pPr>
              <w:keepNext w:val="0"/>
              <w:keepLines w:val="0"/>
              <w:suppressLineNumbers w:val="0"/>
              <w:spacing w:before="0" w:beforeAutospacing="0" w:after="0" w:afterAutospacing="0" w:line="400" w:lineRule="exact"/>
              <w:ind w:left="0" w:right="0"/>
              <w:jc w:val="center"/>
              <w:rPr>
                <w:rFonts w:hint="default" w:ascii="宋体" w:hAnsi="宋体"/>
                <w:sz w:val="18"/>
                <w:szCs w:val="18"/>
                <w:highlight w:val="none"/>
              </w:rPr>
            </w:pPr>
            <w:r>
              <w:rPr>
                <w:rFonts w:hint="eastAsia" w:ascii="宋体" w:hAnsi="宋体"/>
                <w:sz w:val="18"/>
                <w:szCs w:val="18"/>
                <w:highlight w:val="none"/>
              </w:rPr>
              <w:t>学时</w:t>
            </w:r>
          </w:p>
        </w:tc>
        <w:tc>
          <w:tcPr>
            <w:tcW w:w="1065" w:type="dxa"/>
            <w:vAlign w:val="center"/>
          </w:tcPr>
          <w:p w14:paraId="2898F427">
            <w:pPr>
              <w:keepNext w:val="0"/>
              <w:keepLines w:val="0"/>
              <w:suppressLineNumbers w:val="0"/>
              <w:spacing w:before="0" w:beforeAutospacing="0" w:after="0" w:afterAutospacing="0" w:line="400" w:lineRule="exact"/>
              <w:ind w:left="0" w:right="0"/>
              <w:jc w:val="center"/>
              <w:rPr>
                <w:rFonts w:hint="default" w:ascii="宋体" w:hAnsi="宋体"/>
                <w:sz w:val="18"/>
                <w:szCs w:val="18"/>
                <w:highlight w:val="none"/>
              </w:rPr>
            </w:pPr>
            <w:r>
              <w:rPr>
                <w:rFonts w:hint="eastAsia" w:ascii="宋体" w:hAnsi="宋体"/>
                <w:sz w:val="18"/>
                <w:szCs w:val="18"/>
                <w:highlight w:val="none"/>
              </w:rPr>
              <w:t>比例（%）</w:t>
            </w:r>
          </w:p>
        </w:tc>
        <w:tc>
          <w:tcPr>
            <w:tcW w:w="1065" w:type="dxa"/>
            <w:vAlign w:val="center"/>
          </w:tcPr>
          <w:p w14:paraId="6157B509">
            <w:pPr>
              <w:keepNext w:val="0"/>
              <w:keepLines w:val="0"/>
              <w:suppressLineNumbers w:val="0"/>
              <w:spacing w:before="0" w:beforeAutospacing="0" w:after="0" w:afterAutospacing="0" w:line="400" w:lineRule="exact"/>
              <w:ind w:left="0" w:right="0"/>
              <w:jc w:val="center"/>
              <w:rPr>
                <w:rFonts w:hint="default" w:ascii="宋体" w:hAnsi="宋体"/>
                <w:sz w:val="18"/>
                <w:szCs w:val="18"/>
                <w:highlight w:val="none"/>
              </w:rPr>
            </w:pPr>
            <w:r>
              <w:rPr>
                <w:rFonts w:hint="eastAsia" w:ascii="宋体" w:hAnsi="宋体"/>
                <w:sz w:val="18"/>
                <w:szCs w:val="18"/>
                <w:highlight w:val="none"/>
              </w:rPr>
              <w:t>学分</w:t>
            </w:r>
          </w:p>
        </w:tc>
        <w:tc>
          <w:tcPr>
            <w:tcW w:w="1065" w:type="dxa"/>
            <w:vAlign w:val="center"/>
          </w:tcPr>
          <w:p w14:paraId="5AAE80A7">
            <w:pPr>
              <w:keepNext w:val="0"/>
              <w:keepLines w:val="0"/>
              <w:suppressLineNumbers w:val="0"/>
              <w:spacing w:before="0" w:beforeAutospacing="0" w:after="0" w:afterAutospacing="0" w:line="400" w:lineRule="exact"/>
              <w:ind w:left="0" w:right="0"/>
              <w:jc w:val="center"/>
              <w:rPr>
                <w:rFonts w:hint="default" w:ascii="宋体" w:hAnsi="宋体"/>
                <w:sz w:val="18"/>
                <w:szCs w:val="18"/>
                <w:highlight w:val="none"/>
              </w:rPr>
            </w:pPr>
            <w:r>
              <w:rPr>
                <w:rFonts w:hint="eastAsia" w:ascii="宋体" w:hAnsi="宋体"/>
                <w:sz w:val="18"/>
                <w:szCs w:val="18"/>
                <w:highlight w:val="none"/>
              </w:rPr>
              <w:t>比例（%）</w:t>
            </w:r>
          </w:p>
        </w:tc>
        <w:tc>
          <w:tcPr>
            <w:tcW w:w="1476" w:type="dxa"/>
            <w:vAlign w:val="center"/>
          </w:tcPr>
          <w:p w14:paraId="503A2B02">
            <w:pPr>
              <w:keepNext w:val="0"/>
              <w:keepLines w:val="0"/>
              <w:suppressLineNumbers w:val="0"/>
              <w:spacing w:before="0" w:beforeAutospacing="0" w:after="0" w:afterAutospacing="0" w:line="400" w:lineRule="exact"/>
              <w:ind w:left="0" w:right="0"/>
              <w:jc w:val="center"/>
              <w:rPr>
                <w:rFonts w:hint="default" w:ascii="宋体" w:hAnsi="宋体"/>
                <w:sz w:val="18"/>
                <w:szCs w:val="18"/>
                <w:highlight w:val="none"/>
              </w:rPr>
            </w:pPr>
          </w:p>
        </w:tc>
      </w:tr>
      <w:tr w14:paraId="4EF7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restart"/>
            <w:vAlign w:val="center"/>
          </w:tcPr>
          <w:p w14:paraId="6610D6F4">
            <w:pPr>
              <w:keepNext w:val="0"/>
              <w:keepLines w:val="0"/>
              <w:suppressLineNumbers w:val="0"/>
              <w:spacing w:before="0" w:beforeAutospacing="0" w:after="0" w:afterAutospacing="0"/>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必修课</w:t>
            </w:r>
          </w:p>
        </w:tc>
        <w:tc>
          <w:tcPr>
            <w:tcW w:w="1908" w:type="dxa"/>
            <w:gridSpan w:val="2"/>
            <w:vAlign w:val="center"/>
          </w:tcPr>
          <w:p w14:paraId="52ACC508">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公共必修课</w:t>
            </w:r>
          </w:p>
        </w:tc>
        <w:tc>
          <w:tcPr>
            <w:tcW w:w="1065" w:type="dxa"/>
            <w:vAlign w:val="center"/>
          </w:tcPr>
          <w:p w14:paraId="0C5A3448">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6</w:t>
            </w:r>
            <w:r>
              <w:rPr>
                <w:rFonts w:hint="eastAsia" w:ascii="宋体" w:hAnsi="宋体"/>
                <w:color w:val="000000" w:themeColor="text1"/>
                <w:sz w:val="18"/>
                <w:szCs w:val="18"/>
                <w:highlight w:val="none"/>
                <w:lang w:val="en-US" w:eastAsia="zh-CN"/>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0</w:t>
            </w:r>
          </w:p>
        </w:tc>
        <w:tc>
          <w:tcPr>
            <w:tcW w:w="1065" w:type="dxa"/>
            <w:vAlign w:val="center"/>
          </w:tcPr>
          <w:p w14:paraId="3699C422">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25.2%</w:t>
            </w:r>
          </w:p>
        </w:tc>
        <w:tc>
          <w:tcPr>
            <w:tcW w:w="1065" w:type="dxa"/>
            <w:vAlign w:val="center"/>
          </w:tcPr>
          <w:p w14:paraId="4459F8F0">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29</w:t>
            </w:r>
          </w:p>
        </w:tc>
        <w:tc>
          <w:tcPr>
            <w:tcW w:w="1065" w:type="dxa"/>
            <w:vAlign w:val="center"/>
          </w:tcPr>
          <w:p w14:paraId="3CF3CF2A">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23.6%</w:t>
            </w:r>
          </w:p>
        </w:tc>
        <w:tc>
          <w:tcPr>
            <w:tcW w:w="1476" w:type="dxa"/>
            <w:vAlign w:val="center"/>
          </w:tcPr>
          <w:p w14:paraId="14B9DECB">
            <w:pPr>
              <w:keepNext w:val="0"/>
              <w:keepLines w:val="0"/>
              <w:suppressLineNumbers w:val="0"/>
              <w:spacing w:before="0" w:beforeAutospacing="0" w:after="0" w:afterAutospacing="0" w:line="400" w:lineRule="exact"/>
              <w:ind w:left="0" w:right="0"/>
              <w:rPr>
                <w:rFonts w:hint="default" w:ascii="宋体" w:hAnsi="宋体"/>
                <w:sz w:val="18"/>
                <w:szCs w:val="18"/>
                <w:highlight w:val="yellow"/>
              </w:rPr>
            </w:pPr>
          </w:p>
        </w:tc>
      </w:tr>
      <w:tr w14:paraId="5374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14:paraId="3694E2B4">
            <w:pPr>
              <w:keepNext w:val="0"/>
              <w:keepLines w:val="0"/>
              <w:suppressLineNumbers w:val="0"/>
              <w:spacing w:before="0" w:beforeAutospacing="0" w:after="0" w:afterAutospacing="0"/>
              <w:ind w:left="0" w:right="0"/>
              <w:jc w:val="center"/>
              <w:rPr>
                <w:rFonts w:hint="default" w:ascii="宋体" w:hAnsi="宋体"/>
                <w:color w:val="000000" w:themeColor="text1"/>
                <w:sz w:val="18"/>
                <w:szCs w:val="18"/>
                <w:highlight w:val="none"/>
                <w14:textFill>
                  <w14:solidFill>
                    <w14:schemeClr w14:val="tx1"/>
                  </w14:solidFill>
                </w14:textFill>
              </w:rPr>
            </w:pPr>
          </w:p>
        </w:tc>
        <w:tc>
          <w:tcPr>
            <w:tcW w:w="1908" w:type="dxa"/>
            <w:gridSpan w:val="2"/>
            <w:vAlign w:val="center"/>
          </w:tcPr>
          <w:p w14:paraId="78CCDC07">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专业群基础平台课</w:t>
            </w:r>
          </w:p>
        </w:tc>
        <w:tc>
          <w:tcPr>
            <w:tcW w:w="1065" w:type="dxa"/>
            <w:vAlign w:val="center"/>
          </w:tcPr>
          <w:p w14:paraId="79245CDA">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252</w:t>
            </w:r>
          </w:p>
        </w:tc>
        <w:tc>
          <w:tcPr>
            <w:tcW w:w="1065" w:type="dxa"/>
            <w:vAlign w:val="center"/>
          </w:tcPr>
          <w:p w14:paraId="48A8DDD3">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9.6%</w:t>
            </w:r>
          </w:p>
        </w:tc>
        <w:tc>
          <w:tcPr>
            <w:tcW w:w="1065" w:type="dxa"/>
            <w:vAlign w:val="center"/>
          </w:tcPr>
          <w:p w14:paraId="07026567">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14</w:t>
            </w:r>
          </w:p>
        </w:tc>
        <w:tc>
          <w:tcPr>
            <w:tcW w:w="1065" w:type="dxa"/>
            <w:vAlign w:val="center"/>
          </w:tcPr>
          <w:p w14:paraId="64692353">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11.4%</w:t>
            </w:r>
          </w:p>
        </w:tc>
        <w:tc>
          <w:tcPr>
            <w:tcW w:w="1476" w:type="dxa"/>
            <w:vAlign w:val="center"/>
          </w:tcPr>
          <w:p w14:paraId="7F4BFBFA">
            <w:pPr>
              <w:keepNext w:val="0"/>
              <w:keepLines w:val="0"/>
              <w:suppressLineNumbers w:val="0"/>
              <w:spacing w:before="0" w:beforeAutospacing="0" w:after="0" w:afterAutospacing="0" w:line="400" w:lineRule="exact"/>
              <w:ind w:left="0" w:right="0"/>
              <w:rPr>
                <w:rFonts w:hint="default" w:ascii="宋体" w:hAnsi="宋体"/>
                <w:sz w:val="18"/>
                <w:szCs w:val="18"/>
                <w:highlight w:val="yellow"/>
              </w:rPr>
            </w:pPr>
          </w:p>
        </w:tc>
      </w:tr>
      <w:tr w14:paraId="409B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restart"/>
            <w:vAlign w:val="center"/>
          </w:tcPr>
          <w:p w14:paraId="18B4B433">
            <w:pPr>
              <w:keepNext w:val="0"/>
              <w:keepLines w:val="0"/>
              <w:suppressLineNumbers w:val="0"/>
              <w:spacing w:before="0" w:beforeAutospacing="0" w:after="0" w:afterAutospacing="0"/>
              <w:ind w:left="0" w:right="0"/>
              <w:jc w:val="center"/>
              <w:rPr>
                <w:rFonts w:hint="default"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选修课</w:t>
            </w:r>
          </w:p>
        </w:tc>
        <w:tc>
          <w:tcPr>
            <w:tcW w:w="1908" w:type="dxa"/>
            <w:gridSpan w:val="2"/>
            <w:vAlign w:val="center"/>
          </w:tcPr>
          <w:p w14:paraId="5B381484">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公共选修课</w:t>
            </w:r>
          </w:p>
        </w:tc>
        <w:tc>
          <w:tcPr>
            <w:tcW w:w="1065" w:type="dxa"/>
            <w:vAlign w:val="center"/>
          </w:tcPr>
          <w:p w14:paraId="524BCD55">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yellow"/>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72</w:t>
            </w:r>
          </w:p>
        </w:tc>
        <w:tc>
          <w:tcPr>
            <w:tcW w:w="1065" w:type="dxa"/>
            <w:vAlign w:val="center"/>
          </w:tcPr>
          <w:p w14:paraId="14359FC7">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2.7%</w:t>
            </w:r>
          </w:p>
        </w:tc>
        <w:tc>
          <w:tcPr>
            <w:tcW w:w="1065" w:type="dxa"/>
            <w:vAlign w:val="center"/>
          </w:tcPr>
          <w:p w14:paraId="54888045">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4</w:t>
            </w:r>
          </w:p>
        </w:tc>
        <w:tc>
          <w:tcPr>
            <w:tcW w:w="1065" w:type="dxa"/>
            <w:vAlign w:val="center"/>
          </w:tcPr>
          <w:p w14:paraId="0D76AF6B">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3.3%</w:t>
            </w:r>
          </w:p>
        </w:tc>
        <w:tc>
          <w:tcPr>
            <w:tcW w:w="1476" w:type="dxa"/>
            <w:vAlign w:val="center"/>
          </w:tcPr>
          <w:p w14:paraId="4B840FDF">
            <w:pPr>
              <w:keepNext w:val="0"/>
              <w:keepLines w:val="0"/>
              <w:suppressLineNumbers w:val="0"/>
              <w:spacing w:before="0" w:beforeAutospacing="0" w:after="0" w:afterAutospacing="0" w:line="400" w:lineRule="exact"/>
              <w:ind w:left="0" w:right="0"/>
              <w:rPr>
                <w:rFonts w:hint="default" w:ascii="宋体" w:hAnsi="宋体"/>
                <w:sz w:val="18"/>
                <w:szCs w:val="18"/>
                <w:highlight w:val="yellow"/>
              </w:rPr>
            </w:pPr>
          </w:p>
        </w:tc>
      </w:tr>
      <w:tr w14:paraId="4E8C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14:paraId="149BBF9D">
            <w:pPr>
              <w:keepNext w:val="0"/>
              <w:keepLines w:val="0"/>
              <w:suppressLineNumbers w:val="0"/>
              <w:spacing w:before="0" w:beforeAutospacing="0" w:after="0" w:afterAutospacing="0" w:line="600" w:lineRule="auto"/>
              <w:ind w:left="0" w:right="0"/>
              <w:jc w:val="center"/>
              <w:rPr>
                <w:rFonts w:hint="default" w:ascii="宋体" w:hAnsi="宋体"/>
                <w:color w:val="000000" w:themeColor="text1"/>
                <w:sz w:val="18"/>
                <w:szCs w:val="18"/>
                <w:highlight w:val="yellow"/>
                <w14:textFill>
                  <w14:solidFill>
                    <w14:schemeClr w14:val="tx1"/>
                  </w14:solidFill>
                </w14:textFill>
              </w:rPr>
            </w:pPr>
          </w:p>
        </w:tc>
        <w:tc>
          <w:tcPr>
            <w:tcW w:w="1908" w:type="dxa"/>
            <w:gridSpan w:val="2"/>
            <w:vAlign w:val="center"/>
          </w:tcPr>
          <w:p w14:paraId="3B9E94B4">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限定选修课</w:t>
            </w:r>
          </w:p>
        </w:tc>
        <w:tc>
          <w:tcPr>
            <w:tcW w:w="1065" w:type="dxa"/>
            <w:vAlign w:val="center"/>
          </w:tcPr>
          <w:p w14:paraId="2FCE388A">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50</w:t>
            </w:r>
          </w:p>
        </w:tc>
        <w:tc>
          <w:tcPr>
            <w:tcW w:w="1065" w:type="dxa"/>
            <w:vAlign w:val="center"/>
          </w:tcPr>
          <w:p w14:paraId="69293BFD">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1.9%</w:t>
            </w:r>
          </w:p>
        </w:tc>
        <w:tc>
          <w:tcPr>
            <w:tcW w:w="1065" w:type="dxa"/>
            <w:vAlign w:val="center"/>
          </w:tcPr>
          <w:p w14:paraId="231638CF">
            <w:pPr>
              <w:keepNext w:val="0"/>
              <w:keepLines w:val="0"/>
              <w:suppressLineNumbers w:val="0"/>
              <w:spacing w:before="0" w:beforeAutospacing="0" w:after="0" w:afterAutospacing="0" w:line="400" w:lineRule="exact"/>
              <w:ind w:left="0" w:right="0"/>
              <w:jc w:val="center"/>
              <w:rPr>
                <w:rFonts w:hint="eastAsia" w:ascii="宋体" w:hAnsi="宋体" w:eastAsiaTheme="minorEastAsia"/>
                <w:color w:val="000000" w:themeColor="text1"/>
                <w:sz w:val="18"/>
                <w:szCs w:val="18"/>
                <w:highlight w:val="none"/>
                <w:lang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3</w:t>
            </w:r>
          </w:p>
        </w:tc>
        <w:tc>
          <w:tcPr>
            <w:tcW w:w="1065" w:type="dxa"/>
            <w:vAlign w:val="center"/>
          </w:tcPr>
          <w:p w14:paraId="51674984">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2.4%</w:t>
            </w:r>
          </w:p>
        </w:tc>
        <w:tc>
          <w:tcPr>
            <w:tcW w:w="1476" w:type="dxa"/>
            <w:vAlign w:val="center"/>
          </w:tcPr>
          <w:p w14:paraId="0ACBCDEF">
            <w:pPr>
              <w:keepNext w:val="0"/>
              <w:keepLines w:val="0"/>
              <w:suppressLineNumbers w:val="0"/>
              <w:spacing w:before="0" w:beforeAutospacing="0" w:after="0" w:afterAutospacing="0" w:line="400" w:lineRule="exact"/>
              <w:ind w:left="0" w:right="0"/>
              <w:rPr>
                <w:rFonts w:hint="default" w:ascii="宋体" w:hAnsi="宋体"/>
                <w:sz w:val="18"/>
                <w:szCs w:val="18"/>
                <w:highlight w:val="yellow"/>
              </w:rPr>
            </w:pPr>
          </w:p>
        </w:tc>
      </w:tr>
      <w:tr w14:paraId="2CA9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14:paraId="63E99424">
            <w:pPr>
              <w:keepNext w:val="0"/>
              <w:keepLines w:val="0"/>
              <w:suppressLineNumbers w:val="0"/>
              <w:spacing w:before="0" w:beforeAutospacing="0" w:after="0" w:afterAutospacing="0" w:line="600" w:lineRule="auto"/>
              <w:ind w:left="0" w:right="0"/>
              <w:jc w:val="center"/>
              <w:rPr>
                <w:rFonts w:hint="default" w:ascii="宋体" w:hAnsi="宋体"/>
                <w:color w:val="000000" w:themeColor="text1"/>
                <w:sz w:val="18"/>
                <w:szCs w:val="18"/>
                <w:highlight w:val="yellow"/>
                <w14:textFill>
                  <w14:solidFill>
                    <w14:schemeClr w14:val="tx1"/>
                  </w14:solidFill>
                </w14:textFill>
              </w:rPr>
            </w:pPr>
          </w:p>
        </w:tc>
        <w:tc>
          <w:tcPr>
            <w:tcW w:w="1908" w:type="dxa"/>
            <w:gridSpan w:val="2"/>
            <w:vAlign w:val="center"/>
          </w:tcPr>
          <w:p w14:paraId="2B518149">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专业技术方向课</w:t>
            </w:r>
          </w:p>
        </w:tc>
        <w:tc>
          <w:tcPr>
            <w:tcW w:w="1065" w:type="dxa"/>
            <w:vAlign w:val="center"/>
          </w:tcPr>
          <w:p w14:paraId="445239A7">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1414</w:t>
            </w:r>
          </w:p>
        </w:tc>
        <w:tc>
          <w:tcPr>
            <w:tcW w:w="1065" w:type="dxa"/>
            <w:vAlign w:val="center"/>
          </w:tcPr>
          <w:p w14:paraId="628FDEA2">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54%</w:t>
            </w:r>
          </w:p>
        </w:tc>
        <w:tc>
          <w:tcPr>
            <w:tcW w:w="1065" w:type="dxa"/>
            <w:vAlign w:val="center"/>
          </w:tcPr>
          <w:p w14:paraId="6B2795A3">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63</w:t>
            </w:r>
          </w:p>
        </w:tc>
        <w:tc>
          <w:tcPr>
            <w:tcW w:w="1065" w:type="dxa"/>
            <w:vAlign w:val="center"/>
          </w:tcPr>
          <w:p w14:paraId="332644C9">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51.2%</w:t>
            </w:r>
          </w:p>
        </w:tc>
        <w:tc>
          <w:tcPr>
            <w:tcW w:w="1476" w:type="dxa"/>
            <w:vAlign w:val="center"/>
          </w:tcPr>
          <w:p w14:paraId="35451D7B">
            <w:pPr>
              <w:keepNext w:val="0"/>
              <w:keepLines w:val="0"/>
              <w:suppressLineNumbers w:val="0"/>
              <w:spacing w:before="0" w:beforeAutospacing="0" w:after="0" w:afterAutospacing="0" w:line="400" w:lineRule="exact"/>
              <w:ind w:left="0" w:right="0"/>
              <w:rPr>
                <w:rFonts w:hint="default" w:ascii="宋体" w:hAnsi="宋体"/>
                <w:sz w:val="18"/>
                <w:szCs w:val="18"/>
                <w:highlight w:val="yellow"/>
              </w:rPr>
            </w:pPr>
          </w:p>
        </w:tc>
      </w:tr>
      <w:tr w14:paraId="1D19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14:paraId="6994A4E4">
            <w:pPr>
              <w:keepNext w:val="0"/>
              <w:keepLines w:val="0"/>
              <w:suppressLineNumbers w:val="0"/>
              <w:spacing w:before="0" w:beforeAutospacing="0" w:after="0" w:afterAutospacing="0" w:line="400" w:lineRule="exact"/>
              <w:ind w:left="0" w:right="0"/>
              <w:rPr>
                <w:rFonts w:hint="default" w:ascii="宋体" w:hAnsi="宋体"/>
                <w:b/>
                <w:color w:val="000000" w:themeColor="text1"/>
                <w:sz w:val="18"/>
                <w:szCs w:val="18"/>
                <w:highlight w:val="yellow"/>
                <w14:textFill>
                  <w14:solidFill>
                    <w14:schemeClr w14:val="tx1"/>
                  </w14:solidFill>
                </w14:textFill>
              </w:rPr>
            </w:pPr>
          </w:p>
        </w:tc>
        <w:tc>
          <w:tcPr>
            <w:tcW w:w="1908" w:type="dxa"/>
            <w:gridSpan w:val="2"/>
            <w:vAlign w:val="center"/>
          </w:tcPr>
          <w:p w14:paraId="2273BB9F">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专业拓展课</w:t>
            </w:r>
          </w:p>
        </w:tc>
        <w:tc>
          <w:tcPr>
            <w:tcW w:w="1065" w:type="dxa"/>
            <w:vAlign w:val="center"/>
          </w:tcPr>
          <w:p w14:paraId="76869E29">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yellow"/>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172</w:t>
            </w:r>
          </w:p>
        </w:tc>
        <w:tc>
          <w:tcPr>
            <w:tcW w:w="1065" w:type="dxa"/>
            <w:vAlign w:val="center"/>
          </w:tcPr>
          <w:p w14:paraId="66102EC2">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6.6%</w:t>
            </w:r>
          </w:p>
        </w:tc>
        <w:tc>
          <w:tcPr>
            <w:tcW w:w="1065" w:type="dxa"/>
            <w:vAlign w:val="center"/>
          </w:tcPr>
          <w:p w14:paraId="7503EB9A">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10</w:t>
            </w:r>
          </w:p>
        </w:tc>
        <w:tc>
          <w:tcPr>
            <w:tcW w:w="1065" w:type="dxa"/>
            <w:vAlign w:val="center"/>
          </w:tcPr>
          <w:p w14:paraId="1DAB90BA">
            <w:pPr>
              <w:keepNext w:val="0"/>
              <w:keepLines w:val="0"/>
              <w:suppressLineNumbers w:val="0"/>
              <w:spacing w:before="0" w:beforeAutospacing="0" w:after="0" w:afterAutospacing="0" w:line="400" w:lineRule="exact"/>
              <w:ind w:left="0" w:right="0"/>
              <w:jc w:val="center"/>
              <w:rPr>
                <w:rFonts w:hint="default" w:ascii="宋体" w:hAnsi="宋体" w:eastAsiaTheme="minorEastAsia"/>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lang w:val="en-US" w:eastAsia="zh-CN"/>
                <w14:textFill>
                  <w14:solidFill>
                    <w14:schemeClr w14:val="tx1"/>
                  </w14:solidFill>
                </w14:textFill>
              </w:rPr>
              <w:t>8.1%</w:t>
            </w:r>
          </w:p>
        </w:tc>
        <w:tc>
          <w:tcPr>
            <w:tcW w:w="1476" w:type="dxa"/>
            <w:vAlign w:val="center"/>
          </w:tcPr>
          <w:p w14:paraId="5DBB772D">
            <w:pPr>
              <w:keepNext w:val="0"/>
              <w:keepLines w:val="0"/>
              <w:suppressLineNumbers w:val="0"/>
              <w:spacing w:before="0" w:beforeAutospacing="0" w:after="0" w:afterAutospacing="0" w:line="400" w:lineRule="exact"/>
              <w:ind w:left="0" w:right="0"/>
              <w:rPr>
                <w:rFonts w:hint="default" w:ascii="宋体" w:hAnsi="宋体"/>
                <w:sz w:val="18"/>
                <w:szCs w:val="18"/>
                <w:highlight w:val="yellow"/>
              </w:rPr>
            </w:pPr>
          </w:p>
        </w:tc>
      </w:tr>
      <w:tr w14:paraId="5588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gridSpan w:val="3"/>
            <w:vAlign w:val="center"/>
          </w:tcPr>
          <w:p w14:paraId="28E0B148">
            <w:pPr>
              <w:keepNext w:val="0"/>
              <w:keepLines w:val="0"/>
              <w:suppressLineNumbers w:val="0"/>
              <w:spacing w:before="0" w:beforeAutospacing="0" w:after="0" w:afterAutospacing="0" w:line="400" w:lineRule="exact"/>
              <w:ind w:left="0" w:right="0"/>
              <w:jc w:val="center"/>
              <w:rPr>
                <w:rFonts w:hint="default"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合   计</w:t>
            </w:r>
          </w:p>
        </w:tc>
        <w:tc>
          <w:tcPr>
            <w:tcW w:w="1065" w:type="dxa"/>
            <w:vAlign w:val="center"/>
          </w:tcPr>
          <w:p w14:paraId="434AE8D0">
            <w:pPr>
              <w:keepNext w:val="0"/>
              <w:keepLines w:val="0"/>
              <w:suppressLineNumbers w:val="0"/>
              <w:spacing w:before="0" w:beforeAutospacing="0" w:after="0" w:afterAutospacing="0" w:line="400" w:lineRule="exact"/>
              <w:ind w:left="0" w:right="0"/>
              <w:jc w:val="center"/>
              <w:rPr>
                <w:rFonts w:hint="default" w:ascii="宋体" w:hAnsi="宋体" w:eastAsiaTheme="minorEastAsia"/>
                <w:b/>
                <w:color w:val="000000" w:themeColor="text1"/>
                <w:sz w:val="18"/>
                <w:szCs w:val="18"/>
                <w:highlight w:val="yellow"/>
                <w:lang w:val="en-US" w:eastAsia="zh-CN"/>
                <w14:textFill>
                  <w14:solidFill>
                    <w14:schemeClr w14:val="tx1"/>
                  </w14:solidFill>
                </w14:textFill>
              </w:rPr>
            </w:pPr>
            <w:r>
              <w:rPr>
                <w:rFonts w:hint="eastAsia" w:ascii="宋体" w:hAnsi="宋体"/>
                <w:b/>
                <w:color w:val="000000" w:themeColor="text1"/>
                <w:sz w:val="18"/>
                <w:szCs w:val="18"/>
                <w:highlight w:val="none"/>
                <w:lang w:val="en-US" w:eastAsia="zh-CN"/>
                <w14:textFill>
                  <w14:solidFill>
                    <w14:schemeClr w14:val="tx1"/>
                  </w14:solidFill>
                </w14:textFill>
              </w:rPr>
              <w:t xml:space="preserve">2610 </w:t>
            </w:r>
          </w:p>
        </w:tc>
        <w:tc>
          <w:tcPr>
            <w:tcW w:w="1065" w:type="dxa"/>
            <w:vAlign w:val="center"/>
          </w:tcPr>
          <w:p w14:paraId="57ACDDC7">
            <w:pPr>
              <w:keepNext w:val="0"/>
              <w:keepLines w:val="0"/>
              <w:suppressLineNumbers w:val="0"/>
              <w:spacing w:before="0" w:beforeAutospacing="0" w:after="0" w:afterAutospacing="0" w:line="400" w:lineRule="exact"/>
              <w:ind w:left="0" w:right="0"/>
              <w:jc w:val="center"/>
              <w:rPr>
                <w:rFonts w:hint="default" w:ascii="宋体" w:hAnsi="宋体"/>
                <w:b/>
                <w:color w:val="000000" w:themeColor="text1"/>
                <w:sz w:val="18"/>
                <w:szCs w:val="18"/>
                <w:highlight w:val="none"/>
                <w14:textFill>
                  <w14:solidFill>
                    <w14:schemeClr w14:val="tx1"/>
                  </w14:solidFill>
                </w14:textFill>
              </w:rPr>
            </w:pPr>
          </w:p>
        </w:tc>
        <w:tc>
          <w:tcPr>
            <w:tcW w:w="1065" w:type="dxa"/>
            <w:vAlign w:val="center"/>
          </w:tcPr>
          <w:p w14:paraId="663C4744">
            <w:pPr>
              <w:keepNext w:val="0"/>
              <w:keepLines w:val="0"/>
              <w:suppressLineNumbers w:val="0"/>
              <w:spacing w:before="0" w:beforeAutospacing="0" w:after="0" w:afterAutospacing="0" w:line="400" w:lineRule="exact"/>
              <w:ind w:left="0" w:right="0"/>
              <w:jc w:val="center"/>
              <w:rPr>
                <w:rFonts w:hint="default" w:ascii="宋体" w:hAnsi="宋体" w:eastAsiaTheme="minorEastAsia"/>
                <w:b/>
                <w:color w:val="000000" w:themeColor="text1"/>
                <w:sz w:val="18"/>
                <w:szCs w:val="18"/>
                <w:highlight w:val="none"/>
                <w:lang w:val="en-US" w:eastAsia="zh-CN"/>
                <w14:textFill>
                  <w14:solidFill>
                    <w14:schemeClr w14:val="tx1"/>
                  </w14:solidFill>
                </w14:textFill>
              </w:rPr>
            </w:pPr>
            <w:r>
              <w:rPr>
                <w:rFonts w:hint="eastAsia" w:ascii="宋体" w:hAnsi="宋体"/>
                <w:b/>
                <w:color w:val="000000" w:themeColor="text1"/>
                <w:sz w:val="18"/>
                <w:szCs w:val="18"/>
                <w:highlight w:val="none"/>
                <w:lang w:val="en-US" w:eastAsia="zh-CN"/>
                <w14:textFill>
                  <w14:solidFill>
                    <w14:schemeClr w14:val="tx1"/>
                  </w14:solidFill>
                </w14:textFill>
              </w:rPr>
              <w:t>123</w:t>
            </w:r>
          </w:p>
        </w:tc>
        <w:tc>
          <w:tcPr>
            <w:tcW w:w="1065" w:type="dxa"/>
            <w:vAlign w:val="center"/>
          </w:tcPr>
          <w:p w14:paraId="7ECCFDA7">
            <w:pPr>
              <w:keepNext w:val="0"/>
              <w:keepLines w:val="0"/>
              <w:suppressLineNumbers w:val="0"/>
              <w:spacing w:before="0" w:beforeAutospacing="0" w:after="0" w:afterAutospacing="0" w:line="400" w:lineRule="exact"/>
              <w:ind w:left="0" w:right="0"/>
              <w:jc w:val="center"/>
              <w:rPr>
                <w:rFonts w:hint="default" w:ascii="宋体" w:hAnsi="宋体"/>
                <w:b/>
                <w:color w:val="000000" w:themeColor="text1"/>
                <w:sz w:val="18"/>
                <w:szCs w:val="18"/>
                <w:highlight w:val="none"/>
                <w14:textFill>
                  <w14:solidFill>
                    <w14:schemeClr w14:val="tx1"/>
                  </w14:solidFill>
                </w14:textFill>
              </w:rPr>
            </w:pPr>
          </w:p>
        </w:tc>
        <w:tc>
          <w:tcPr>
            <w:tcW w:w="1476" w:type="dxa"/>
            <w:vAlign w:val="center"/>
          </w:tcPr>
          <w:p w14:paraId="58FB69E6">
            <w:pPr>
              <w:keepNext w:val="0"/>
              <w:keepLines w:val="0"/>
              <w:suppressLineNumbers w:val="0"/>
              <w:spacing w:before="0" w:beforeAutospacing="0" w:after="0" w:afterAutospacing="0" w:line="400" w:lineRule="exact"/>
              <w:ind w:left="0" w:right="0"/>
              <w:rPr>
                <w:rFonts w:hint="default" w:ascii="宋体" w:hAnsi="宋体"/>
                <w:b/>
                <w:sz w:val="18"/>
                <w:szCs w:val="18"/>
                <w:highlight w:val="yellow"/>
              </w:rPr>
            </w:pPr>
          </w:p>
        </w:tc>
      </w:tr>
      <w:tr w14:paraId="22EE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restart"/>
            <w:vAlign w:val="center"/>
          </w:tcPr>
          <w:p w14:paraId="737F8EEA">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理论实践教学比</w:t>
            </w:r>
          </w:p>
        </w:tc>
        <w:tc>
          <w:tcPr>
            <w:tcW w:w="1324" w:type="dxa"/>
            <w:vAlign w:val="center"/>
          </w:tcPr>
          <w:p w14:paraId="1F9B72C4">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理论教学</w:t>
            </w:r>
          </w:p>
        </w:tc>
        <w:tc>
          <w:tcPr>
            <w:tcW w:w="1065" w:type="dxa"/>
            <w:vAlign w:val="center"/>
          </w:tcPr>
          <w:p w14:paraId="17BB1D01">
            <w:pPr>
              <w:keepNext w:val="0"/>
              <w:keepLines w:val="0"/>
              <w:suppressLineNumbers w:val="0"/>
              <w:spacing w:before="0" w:beforeAutospacing="0" w:after="0" w:afterAutospacing="0" w:line="400" w:lineRule="exact"/>
              <w:ind w:left="0" w:right="0"/>
              <w:jc w:val="center"/>
              <w:rPr>
                <w:rFonts w:hint="default" w:ascii="宋体" w:hAnsi="宋体" w:eastAsiaTheme="minorEastAsia"/>
                <w:b/>
                <w:color w:val="000000" w:themeColor="text1"/>
                <w:sz w:val="18"/>
                <w:szCs w:val="18"/>
                <w:highlight w:val="none"/>
                <w:lang w:val="en-US" w:eastAsia="zh-CN"/>
                <w14:textFill>
                  <w14:solidFill>
                    <w14:schemeClr w14:val="tx1"/>
                  </w14:solidFill>
                </w14:textFill>
              </w:rPr>
            </w:pPr>
            <w:r>
              <w:rPr>
                <w:rFonts w:hint="eastAsia" w:ascii="宋体" w:hAnsi="宋体"/>
                <w:b/>
                <w:color w:val="000000" w:themeColor="text1"/>
                <w:sz w:val="18"/>
                <w:szCs w:val="18"/>
                <w:highlight w:val="none"/>
                <w:lang w:val="en-US" w:eastAsia="zh-CN"/>
                <w14:textFill>
                  <w14:solidFill>
                    <w14:schemeClr w14:val="tx1"/>
                  </w14:solidFill>
                </w14:textFill>
              </w:rPr>
              <w:t>950</w:t>
            </w:r>
          </w:p>
        </w:tc>
        <w:tc>
          <w:tcPr>
            <w:tcW w:w="1065" w:type="dxa"/>
            <w:vAlign w:val="center"/>
          </w:tcPr>
          <w:p w14:paraId="037EB657">
            <w:pPr>
              <w:keepNext w:val="0"/>
              <w:keepLines w:val="0"/>
              <w:suppressLineNumbers w:val="0"/>
              <w:spacing w:before="0" w:beforeAutospacing="0" w:after="0" w:afterAutospacing="0" w:line="400" w:lineRule="exact"/>
              <w:ind w:left="0" w:right="0"/>
              <w:jc w:val="center"/>
              <w:rPr>
                <w:rFonts w:hint="default" w:ascii="宋体" w:hAnsi="宋体" w:eastAsiaTheme="minorEastAsia"/>
                <w:b/>
                <w:color w:val="000000" w:themeColor="text1"/>
                <w:sz w:val="18"/>
                <w:szCs w:val="18"/>
                <w:highlight w:val="none"/>
                <w:lang w:val="en-US" w:eastAsia="zh-CN"/>
                <w14:textFill>
                  <w14:solidFill>
                    <w14:schemeClr w14:val="tx1"/>
                  </w14:solidFill>
                </w14:textFill>
              </w:rPr>
            </w:pPr>
            <w:r>
              <w:rPr>
                <w:rFonts w:hint="eastAsia" w:ascii="宋体" w:hAnsi="宋体"/>
                <w:b/>
                <w:color w:val="000000" w:themeColor="text1"/>
                <w:sz w:val="18"/>
                <w:szCs w:val="18"/>
                <w:highlight w:val="none"/>
                <w:lang w:val="en-US" w:eastAsia="zh-CN"/>
                <w14:textFill>
                  <w14:solidFill>
                    <w14:schemeClr w14:val="tx1"/>
                  </w14:solidFill>
                </w14:textFill>
              </w:rPr>
              <w:t xml:space="preserve"> 36%</w:t>
            </w:r>
          </w:p>
        </w:tc>
        <w:tc>
          <w:tcPr>
            <w:tcW w:w="1065" w:type="dxa"/>
          </w:tcPr>
          <w:p w14:paraId="2DFAEE89">
            <w:pPr>
              <w:keepNext w:val="0"/>
              <w:keepLines w:val="0"/>
              <w:suppressLineNumbers w:val="0"/>
              <w:spacing w:before="0" w:beforeAutospacing="0" w:after="0" w:afterAutospacing="0" w:line="400" w:lineRule="exact"/>
              <w:ind w:left="0" w:right="0"/>
              <w:jc w:val="center"/>
              <w:rPr>
                <w:rFonts w:hint="default" w:ascii="宋体" w:hAnsi="宋体"/>
                <w:b/>
                <w:color w:val="000000" w:themeColor="text1"/>
                <w:sz w:val="18"/>
                <w:szCs w:val="18"/>
                <w:highlight w:val="none"/>
                <w:lang w:val="en-US"/>
                <w14:textFill>
                  <w14:solidFill>
                    <w14:schemeClr w14:val="tx1"/>
                  </w14:solidFill>
                </w14:textFill>
              </w:rPr>
            </w:pPr>
          </w:p>
        </w:tc>
        <w:tc>
          <w:tcPr>
            <w:tcW w:w="1065" w:type="dxa"/>
          </w:tcPr>
          <w:p w14:paraId="3E5D3854">
            <w:pPr>
              <w:keepNext w:val="0"/>
              <w:keepLines w:val="0"/>
              <w:suppressLineNumbers w:val="0"/>
              <w:spacing w:before="0" w:beforeAutospacing="0" w:after="0" w:afterAutospacing="0" w:line="400" w:lineRule="exact"/>
              <w:ind w:left="0" w:right="0"/>
              <w:jc w:val="center"/>
              <w:rPr>
                <w:rFonts w:hint="default" w:ascii="宋体" w:hAnsi="宋体"/>
                <w:b/>
                <w:color w:val="000000" w:themeColor="text1"/>
                <w:sz w:val="18"/>
                <w:szCs w:val="18"/>
                <w:highlight w:val="none"/>
                <w14:textFill>
                  <w14:solidFill>
                    <w14:schemeClr w14:val="tx1"/>
                  </w14:solidFill>
                </w14:textFill>
              </w:rPr>
            </w:pPr>
            <w:r>
              <w:rPr>
                <w:rFonts w:hint="eastAsia" w:asciiTheme="minorEastAsia" w:hAnsiTheme="minorEastAsia"/>
                <w:color w:val="000000" w:themeColor="text1"/>
                <w:sz w:val="18"/>
                <w:szCs w:val="18"/>
                <w:highlight w:val="none"/>
                <w14:textFill>
                  <w14:solidFill>
                    <w14:schemeClr w14:val="tx1"/>
                  </w14:solidFill>
                </w14:textFill>
              </w:rPr>
              <w:t>—</w:t>
            </w:r>
          </w:p>
        </w:tc>
        <w:tc>
          <w:tcPr>
            <w:tcW w:w="1476" w:type="dxa"/>
            <w:vAlign w:val="center"/>
          </w:tcPr>
          <w:p w14:paraId="28FD9DD9">
            <w:pPr>
              <w:keepNext w:val="0"/>
              <w:keepLines w:val="0"/>
              <w:suppressLineNumbers w:val="0"/>
              <w:spacing w:before="0" w:beforeAutospacing="0" w:after="0" w:afterAutospacing="0" w:line="400" w:lineRule="exact"/>
              <w:ind w:left="0" w:right="0"/>
              <w:rPr>
                <w:rFonts w:hint="default" w:ascii="宋体" w:hAnsi="宋体"/>
                <w:b/>
                <w:sz w:val="18"/>
                <w:szCs w:val="18"/>
                <w:highlight w:val="none"/>
              </w:rPr>
            </w:pPr>
          </w:p>
        </w:tc>
      </w:tr>
      <w:tr w14:paraId="7B36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vAlign w:val="center"/>
          </w:tcPr>
          <w:p w14:paraId="43DCD740">
            <w:pPr>
              <w:keepNext w:val="0"/>
              <w:keepLines w:val="0"/>
              <w:suppressLineNumbers w:val="0"/>
              <w:spacing w:before="0" w:beforeAutospacing="0" w:after="0" w:afterAutospacing="0" w:line="400" w:lineRule="exact"/>
              <w:ind w:left="0" w:right="0"/>
              <w:rPr>
                <w:rFonts w:hint="default" w:ascii="宋体" w:hAnsi="宋体"/>
                <w:color w:val="000000" w:themeColor="text1"/>
                <w:sz w:val="18"/>
                <w:szCs w:val="18"/>
                <w:highlight w:val="none"/>
                <w14:textFill>
                  <w14:solidFill>
                    <w14:schemeClr w14:val="tx1"/>
                  </w14:solidFill>
                </w14:textFill>
              </w:rPr>
            </w:pPr>
          </w:p>
        </w:tc>
        <w:tc>
          <w:tcPr>
            <w:tcW w:w="1324" w:type="dxa"/>
            <w:vAlign w:val="center"/>
          </w:tcPr>
          <w:p w14:paraId="3FAD16C9">
            <w:pPr>
              <w:keepNext w:val="0"/>
              <w:keepLines w:val="0"/>
              <w:suppressLineNumbers w:val="0"/>
              <w:spacing w:before="0" w:beforeAutospacing="0" w:after="0" w:afterAutospacing="0" w:line="400" w:lineRule="exact"/>
              <w:ind w:left="0" w:right="0"/>
              <w:jc w:val="center"/>
              <w:rPr>
                <w:rFonts w:hint="default"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实践教学</w:t>
            </w:r>
          </w:p>
        </w:tc>
        <w:tc>
          <w:tcPr>
            <w:tcW w:w="1065" w:type="dxa"/>
            <w:vAlign w:val="center"/>
          </w:tcPr>
          <w:p w14:paraId="1D922B3F">
            <w:pPr>
              <w:keepNext w:val="0"/>
              <w:keepLines w:val="0"/>
              <w:suppressLineNumbers w:val="0"/>
              <w:spacing w:before="0" w:beforeAutospacing="0" w:after="0" w:afterAutospacing="0" w:line="400" w:lineRule="exact"/>
              <w:ind w:left="0" w:right="0"/>
              <w:jc w:val="center"/>
              <w:rPr>
                <w:rFonts w:hint="default" w:ascii="宋体" w:hAnsi="宋体" w:eastAsiaTheme="minorEastAsia"/>
                <w:b/>
                <w:color w:val="000000" w:themeColor="text1"/>
                <w:sz w:val="18"/>
                <w:szCs w:val="18"/>
                <w:highlight w:val="none"/>
                <w:lang w:val="en-US" w:eastAsia="zh-CN"/>
                <w14:textFill>
                  <w14:solidFill>
                    <w14:schemeClr w14:val="tx1"/>
                  </w14:solidFill>
                </w14:textFill>
              </w:rPr>
            </w:pPr>
            <w:r>
              <w:rPr>
                <w:rFonts w:hint="eastAsia" w:ascii="宋体" w:hAnsi="宋体"/>
                <w:b/>
                <w:color w:val="000000" w:themeColor="text1"/>
                <w:sz w:val="18"/>
                <w:szCs w:val="18"/>
                <w:highlight w:val="none"/>
                <w:lang w:val="en-US" w:eastAsia="zh-CN"/>
                <w14:textFill>
                  <w14:solidFill>
                    <w14:schemeClr w14:val="tx1"/>
                  </w14:solidFill>
                </w14:textFill>
              </w:rPr>
              <w:t xml:space="preserve">1662 </w:t>
            </w:r>
          </w:p>
        </w:tc>
        <w:tc>
          <w:tcPr>
            <w:tcW w:w="1065" w:type="dxa"/>
            <w:vAlign w:val="center"/>
          </w:tcPr>
          <w:p w14:paraId="247BE928">
            <w:pPr>
              <w:keepNext w:val="0"/>
              <w:keepLines w:val="0"/>
              <w:suppressLineNumbers w:val="0"/>
              <w:spacing w:before="0" w:beforeAutospacing="0" w:after="0" w:afterAutospacing="0" w:line="400" w:lineRule="exact"/>
              <w:ind w:left="0" w:right="0"/>
              <w:jc w:val="center"/>
              <w:rPr>
                <w:rFonts w:hint="default" w:ascii="宋体" w:hAnsi="宋体" w:eastAsiaTheme="minorEastAsia"/>
                <w:b/>
                <w:color w:val="000000" w:themeColor="text1"/>
                <w:sz w:val="18"/>
                <w:szCs w:val="18"/>
                <w:highlight w:val="none"/>
                <w:lang w:val="en-US" w:eastAsia="zh-CN"/>
                <w14:textFill>
                  <w14:solidFill>
                    <w14:schemeClr w14:val="tx1"/>
                  </w14:solidFill>
                </w14:textFill>
              </w:rPr>
            </w:pPr>
            <w:r>
              <w:rPr>
                <w:rFonts w:hint="eastAsia" w:ascii="宋体" w:hAnsi="宋体"/>
                <w:b/>
                <w:color w:val="000000" w:themeColor="text1"/>
                <w:sz w:val="18"/>
                <w:szCs w:val="18"/>
                <w:highlight w:val="none"/>
                <w:lang w:val="en-US" w:eastAsia="zh-CN"/>
                <w14:textFill>
                  <w14:solidFill>
                    <w14:schemeClr w14:val="tx1"/>
                  </w14:solidFill>
                </w14:textFill>
              </w:rPr>
              <w:t xml:space="preserve"> 64%</w:t>
            </w:r>
          </w:p>
        </w:tc>
        <w:tc>
          <w:tcPr>
            <w:tcW w:w="1065" w:type="dxa"/>
            <w:vAlign w:val="center"/>
          </w:tcPr>
          <w:p w14:paraId="43E4FB71">
            <w:pPr>
              <w:keepNext w:val="0"/>
              <w:keepLines w:val="0"/>
              <w:suppressLineNumbers w:val="0"/>
              <w:spacing w:before="0" w:beforeAutospacing="0" w:after="0" w:afterAutospacing="0" w:line="400" w:lineRule="exact"/>
              <w:ind w:left="0" w:right="0"/>
              <w:jc w:val="center"/>
              <w:rPr>
                <w:rFonts w:hint="default" w:ascii="宋体" w:hAnsi="宋体"/>
                <w:b/>
                <w:color w:val="000000" w:themeColor="text1"/>
                <w:sz w:val="18"/>
                <w:szCs w:val="18"/>
                <w:highlight w:val="none"/>
                <w14:textFill>
                  <w14:solidFill>
                    <w14:schemeClr w14:val="tx1"/>
                  </w14:solidFill>
                </w14:textFill>
              </w:rPr>
            </w:pPr>
            <w:r>
              <w:rPr>
                <w:rFonts w:hint="eastAsia" w:asciiTheme="minorEastAsia" w:hAnsiTheme="minorEastAsia"/>
                <w:color w:val="000000" w:themeColor="text1"/>
                <w:sz w:val="18"/>
                <w:szCs w:val="18"/>
                <w:highlight w:val="none"/>
                <w14:textFill>
                  <w14:solidFill>
                    <w14:schemeClr w14:val="tx1"/>
                  </w14:solidFill>
                </w14:textFill>
              </w:rPr>
              <w:t>—</w:t>
            </w:r>
          </w:p>
        </w:tc>
        <w:tc>
          <w:tcPr>
            <w:tcW w:w="1065" w:type="dxa"/>
            <w:vAlign w:val="center"/>
          </w:tcPr>
          <w:p w14:paraId="626F14B8">
            <w:pPr>
              <w:keepNext w:val="0"/>
              <w:keepLines w:val="0"/>
              <w:suppressLineNumbers w:val="0"/>
              <w:spacing w:before="0" w:beforeAutospacing="0" w:after="0" w:afterAutospacing="0" w:line="400" w:lineRule="exact"/>
              <w:ind w:left="0" w:right="0"/>
              <w:jc w:val="center"/>
              <w:rPr>
                <w:rFonts w:hint="default" w:ascii="宋体" w:hAnsi="宋体"/>
                <w:b/>
                <w:color w:val="000000" w:themeColor="text1"/>
                <w:sz w:val="18"/>
                <w:szCs w:val="18"/>
                <w:highlight w:val="none"/>
                <w14:textFill>
                  <w14:solidFill>
                    <w14:schemeClr w14:val="tx1"/>
                  </w14:solidFill>
                </w14:textFill>
              </w:rPr>
            </w:pPr>
            <w:r>
              <w:rPr>
                <w:rFonts w:hint="eastAsia" w:asciiTheme="minorEastAsia" w:hAnsiTheme="minorEastAsia"/>
                <w:color w:val="000000" w:themeColor="text1"/>
                <w:sz w:val="18"/>
                <w:szCs w:val="18"/>
                <w:highlight w:val="none"/>
                <w14:textFill>
                  <w14:solidFill>
                    <w14:schemeClr w14:val="tx1"/>
                  </w14:solidFill>
                </w14:textFill>
              </w:rPr>
              <w:t>—</w:t>
            </w:r>
          </w:p>
        </w:tc>
        <w:tc>
          <w:tcPr>
            <w:tcW w:w="1476" w:type="dxa"/>
            <w:vAlign w:val="center"/>
          </w:tcPr>
          <w:p w14:paraId="5234119D">
            <w:pPr>
              <w:keepNext w:val="0"/>
              <w:keepLines w:val="0"/>
              <w:suppressLineNumbers w:val="0"/>
              <w:spacing w:before="0" w:beforeAutospacing="0" w:after="0" w:afterAutospacing="0" w:line="400" w:lineRule="exact"/>
              <w:ind w:left="0" w:right="0"/>
              <w:rPr>
                <w:rFonts w:hint="default" w:ascii="宋体" w:hAnsi="宋体"/>
                <w:b/>
                <w:sz w:val="18"/>
                <w:szCs w:val="18"/>
                <w:highlight w:val="none"/>
              </w:rPr>
            </w:pPr>
          </w:p>
        </w:tc>
      </w:tr>
    </w:tbl>
    <w:p w14:paraId="7F52D6AA">
      <w:pPr>
        <w:keepNext/>
        <w:keepLines/>
        <w:adjustRightInd w:val="0"/>
        <w:snapToGrid w:val="0"/>
        <w:spacing w:before="100" w:beforeAutospacing="1" w:after="100" w:afterAutospacing="1"/>
        <w:ind w:left="420" w:leftChars="200"/>
        <w:outlineLvl w:val="0"/>
        <w:rPr>
          <w:rFonts w:eastAsia="黑体"/>
          <w:bCs/>
          <w:kern w:val="44"/>
          <w:sz w:val="28"/>
          <w:szCs w:val="44"/>
        </w:rPr>
      </w:pPr>
      <w:bookmarkStart w:id="18" w:name="_Toc89793281"/>
      <w:r>
        <w:rPr>
          <w:rFonts w:hint="eastAsia" w:eastAsia="黑体"/>
          <w:bCs/>
          <w:kern w:val="44"/>
          <w:sz w:val="28"/>
          <w:szCs w:val="44"/>
        </w:rPr>
        <w:t>七、教学进程总体安排</w:t>
      </w:r>
      <w:bookmarkEnd w:id="18"/>
    </w:p>
    <w:p w14:paraId="3B2DA069">
      <w:pPr>
        <w:keepNext/>
        <w:keepLines/>
        <w:snapToGrid w:val="0"/>
        <w:spacing w:before="100" w:beforeAutospacing="1" w:after="100" w:afterAutospacing="1"/>
        <w:ind w:left="420" w:leftChars="200"/>
        <w:outlineLvl w:val="1"/>
        <w:rPr>
          <w:rFonts w:eastAsia="楷体" w:asciiTheme="majorHAnsi" w:hAnsiTheme="majorHAnsi" w:cstheme="majorBidi"/>
          <w:bCs/>
          <w:sz w:val="28"/>
          <w:szCs w:val="32"/>
        </w:rPr>
      </w:pPr>
      <w:bookmarkStart w:id="19" w:name="_Toc89793282"/>
      <w:r>
        <w:rPr>
          <w:rFonts w:hint="eastAsia" w:eastAsia="楷体" w:asciiTheme="majorHAnsi" w:hAnsiTheme="majorHAnsi" w:cstheme="majorBidi"/>
          <w:bCs/>
          <w:sz w:val="28"/>
          <w:szCs w:val="32"/>
        </w:rPr>
        <w:t>（一）专业教学计划表</w:t>
      </w:r>
      <w:bookmarkEnd w:id="19"/>
    </w:p>
    <w:p w14:paraId="09C54620">
      <w:pPr>
        <w:overflowPunct w:val="0"/>
        <w:spacing w:line="440" w:lineRule="exact"/>
        <w:ind w:firstLine="420" w:firstLineChars="200"/>
      </w:pPr>
      <w:r>
        <w:rPr>
          <w:rFonts w:hint="eastAsia"/>
        </w:rPr>
        <w:t>本专业教学计划安排见表9（附后）。</w:t>
      </w:r>
    </w:p>
    <w:p w14:paraId="4560A48D">
      <w:pPr>
        <w:keepNext/>
        <w:keepLines/>
        <w:snapToGrid w:val="0"/>
        <w:spacing w:before="100" w:beforeAutospacing="1" w:after="100" w:afterAutospacing="1"/>
        <w:ind w:left="420" w:leftChars="200"/>
        <w:outlineLvl w:val="1"/>
        <w:rPr>
          <w:rFonts w:eastAsia="楷体" w:asciiTheme="majorHAnsi" w:hAnsiTheme="majorHAnsi" w:cstheme="majorBidi"/>
          <w:bCs/>
          <w:sz w:val="28"/>
          <w:szCs w:val="32"/>
        </w:rPr>
      </w:pPr>
      <w:bookmarkStart w:id="20" w:name="_Toc89793283"/>
      <w:r>
        <w:rPr>
          <w:rFonts w:hint="eastAsia" w:eastAsia="楷体" w:asciiTheme="majorHAnsi" w:hAnsiTheme="majorHAnsi" w:cstheme="majorBidi"/>
          <w:bCs/>
          <w:sz w:val="28"/>
          <w:szCs w:val="32"/>
        </w:rPr>
        <w:t>（二）专业教育教学活动时间安排表</w:t>
      </w:r>
      <w:bookmarkEnd w:id="20"/>
    </w:p>
    <w:p w14:paraId="63C972AE">
      <w:pPr>
        <w:ind w:firstLine="420" w:firstLineChars="200"/>
      </w:pPr>
      <w:r>
        <w:rPr>
          <w:rFonts w:hint="eastAsia"/>
        </w:rPr>
        <w:t>本专业教育教学活动时间安排见表10。</w:t>
      </w:r>
    </w:p>
    <w:p w14:paraId="6E216D11">
      <w:pPr>
        <w:jc w:val="center"/>
        <w:rPr>
          <w:highlight w:val="none"/>
        </w:rPr>
      </w:pPr>
      <w:r>
        <w:rPr>
          <w:rFonts w:hint="eastAsia"/>
          <w:highlight w:val="none"/>
        </w:rPr>
        <w:t>表10</w:t>
      </w:r>
      <w:r>
        <w:rPr>
          <w:highlight w:val="none"/>
        </w:rPr>
        <w:t xml:space="preserve"> </w:t>
      </w:r>
      <w:r>
        <w:rPr>
          <w:rFonts w:hint="eastAsia"/>
          <w:highlight w:val="none"/>
        </w:rPr>
        <w:t>专业教育教学活动时间安排表</w:t>
      </w:r>
    </w:p>
    <w:tbl>
      <w:tblPr>
        <w:tblStyle w:val="16"/>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931"/>
        <w:gridCol w:w="2120"/>
        <w:gridCol w:w="720"/>
        <w:gridCol w:w="774"/>
        <w:gridCol w:w="766"/>
        <w:gridCol w:w="685"/>
        <w:gridCol w:w="630"/>
        <w:gridCol w:w="689"/>
        <w:gridCol w:w="1023"/>
      </w:tblGrid>
      <w:tr w14:paraId="588E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restart"/>
            <w:vAlign w:val="center"/>
          </w:tcPr>
          <w:p w14:paraId="7B162C63">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r>
              <w:rPr>
                <w:rFonts w:hint="eastAsia" w:asciiTheme="minorEastAsia" w:hAnsiTheme="minorEastAsia"/>
                <w:sz w:val="18"/>
                <w:szCs w:val="18"/>
                <w:highlight w:val="none"/>
              </w:rPr>
              <w:t>序号</w:t>
            </w:r>
          </w:p>
        </w:tc>
        <w:tc>
          <w:tcPr>
            <w:tcW w:w="3051" w:type="dxa"/>
            <w:gridSpan w:val="2"/>
            <w:vMerge w:val="restart"/>
            <w:vAlign w:val="center"/>
          </w:tcPr>
          <w:p w14:paraId="5331624B">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教育教学活动</w:t>
            </w:r>
          </w:p>
        </w:tc>
        <w:tc>
          <w:tcPr>
            <w:tcW w:w="4264" w:type="dxa"/>
            <w:gridSpan w:val="6"/>
            <w:vAlign w:val="center"/>
          </w:tcPr>
          <w:p w14:paraId="2E900D7D">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各学期时间分配（周）</w:t>
            </w:r>
          </w:p>
        </w:tc>
        <w:tc>
          <w:tcPr>
            <w:tcW w:w="1023" w:type="dxa"/>
            <w:vMerge w:val="restart"/>
            <w:vAlign w:val="center"/>
          </w:tcPr>
          <w:p w14:paraId="48AA2828">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合计</w:t>
            </w:r>
          </w:p>
        </w:tc>
      </w:tr>
      <w:tr w14:paraId="2B28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continue"/>
            <w:vAlign w:val="center"/>
          </w:tcPr>
          <w:p w14:paraId="091898A1">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p>
        </w:tc>
        <w:tc>
          <w:tcPr>
            <w:tcW w:w="3051" w:type="dxa"/>
            <w:gridSpan w:val="2"/>
            <w:vMerge w:val="continue"/>
            <w:vAlign w:val="center"/>
          </w:tcPr>
          <w:p w14:paraId="37CEF4FF">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p>
        </w:tc>
        <w:tc>
          <w:tcPr>
            <w:tcW w:w="720" w:type="dxa"/>
            <w:vAlign w:val="center"/>
          </w:tcPr>
          <w:p w14:paraId="57DEA3DF">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一</w:t>
            </w:r>
          </w:p>
        </w:tc>
        <w:tc>
          <w:tcPr>
            <w:tcW w:w="774" w:type="dxa"/>
            <w:vAlign w:val="center"/>
          </w:tcPr>
          <w:p w14:paraId="690983C7">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二</w:t>
            </w:r>
          </w:p>
        </w:tc>
        <w:tc>
          <w:tcPr>
            <w:tcW w:w="766" w:type="dxa"/>
            <w:vAlign w:val="center"/>
          </w:tcPr>
          <w:p w14:paraId="070D565E">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三</w:t>
            </w:r>
          </w:p>
        </w:tc>
        <w:tc>
          <w:tcPr>
            <w:tcW w:w="685" w:type="dxa"/>
            <w:vAlign w:val="center"/>
          </w:tcPr>
          <w:p w14:paraId="7F865440">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四</w:t>
            </w:r>
          </w:p>
        </w:tc>
        <w:tc>
          <w:tcPr>
            <w:tcW w:w="630" w:type="dxa"/>
            <w:vAlign w:val="center"/>
          </w:tcPr>
          <w:p w14:paraId="666EB8F8">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五</w:t>
            </w:r>
          </w:p>
        </w:tc>
        <w:tc>
          <w:tcPr>
            <w:tcW w:w="689" w:type="dxa"/>
            <w:vAlign w:val="center"/>
          </w:tcPr>
          <w:p w14:paraId="79E76AC2">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六</w:t>
            </w:r>
          </w:p>
        </w:tc>
        <w:tc>
          <w:tcPr>
            <w:tcW w:w="1023" w:type="dxa"/>
            <w:vMerge w:val="continue"/>
            <w:vAlign w:val="center"/>
          </w:tcPr>
          <w:p w14:paraId="20A1F323">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p>
        </w:tc>
      </w:tr>
      <w:tr w14:paraId="6A2A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14:paraId="33FEE9BC">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931" w:type="dxa"/>
            <w:vAlign w:val="center"/>
          </w:tcPr>
          <w:p w14:paraId="7728744F">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r>
              <w:rPr>
                <w:rFonts w:hint="eastAsia" w:asciiTheme="minorEastAsia" w:hAnsiTheme="minorEastAsia"/>
                <w:sz w:val="18"/>
                <w:szCs w:val="18"/>
                <w:highlight w:val="none"/>
              </w:rPr>
              <w:t>教学活动时间</w:t>
            </w:r>
          </w:p>
        </w:tc>
        <w:tc>
          <w:tcPr>
            <w:tcW w:w="2120" w:type="dxa"/>
            <w:vAlign w:val="center"/>
          </w:tcPr>
          <w:p w14:paraId="664F3623">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r>
              <w:rPr>
                <w:rFonts w:hint="eastAsia" w:asciiTheme="minorEastAsia" w:hAnsiTheme="minorEastAsia"/>
                <w:sz w:val="18"/>
                <w:szCs w:val="18"/>
                <w:highlight w:val="none"/>
              </w:rPr>
              <w:t>理论教学、实践教学、职业技能等级证书培训</w:t>
            </w:r>
          </w:p>
        </w:tc>
        <w:tc>
          <w:tcPr>
            <w:tcW w:w="720" w:type="dxa"/>
            <w:vAlign w:val="center"/>
          </w:tcPr>
          <w:p w14:paraId="1F1E0923">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16</w:t>
            </w:r>
          </w:p>
        </w:tc>
        <w:tc>
          <w:tcPr>
            <w:tcW w:w="774" w:type="dxa"/>
            <w:vAlign w:val="center"/>
          </w:tcPr>
          <w:p w14:paraId="43C61E04">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18</w:t>
            </w:r>
          </w:p>
        </w:tc>
        <w:tc>
          <w:tcPr>
            <w:tcW w:w="766" w:type="dxa"/>
            <w:vAlign w:val="center"/>
          </w:tcPr>
          <w:p w14:paraId="52057376">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18</w:t>
            </w:r>
          </w:p>
        </w:tc>
        <w:tc>
          <w:tcPr>
            <w:tcW w:w="685" w:type="dxa"/>
            <w:vAlign w:val="center"/>
          </w:tcPr>
          <w:p w14:paraId="13A81DDD">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18</w:t>
            </w:r>
          </w:p>
        </w:tc>
        <w:tc>
          <w:tcPr>
            <w:tcW w:w="630" w:type="dxa"/>
            <w:vAlign w:val="center"/>
          </w:tcPr>
          <w:p w14:paraId="0D5F7497">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18</w:t>
            </w:r>
          </w:p>
        </w:tc>
        <w:tc>
          <w:tcPr>
            <w:tcW w:w="689" w:type="dxa"/>
            <w:vAlign w:val="center"/>
          </w:tcPr>
          <w:p w14:paraId="45D298F4">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16</w:t>
            </w:r>
          </w:p>
        </w:tc>
        <w:tc>
          <w:tcPr>
            <w:tcW w:w="1023" w:type="dxa"/>
            <w:vAlign w:val="center"/>
          </w:tcPr>
          <w:p w14:paraId="60C9C828">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104</w:t>
            </w:r>
          </w:p>
        </w:tc>
      </w:tr>
      <w:tr w14:paraId="73D4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14:paraId="727C6C93">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2</w:t>
            </w:r>
          </w:p>
        </w:tc>
        <w:tc>
          <w:tcPr>
            <w:tcW w:w="931" w:type="dxa"/>
            <w:vMerge w:val="restart"/>
            <w:vAlign w:val="center"/>
          </w:tcPr>
          <w:p w14:paraId="01ADE383">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r>
              <w:rPr>
                <w:rFonts w:hint="eastAsia" w:asciiTheme="minorEastAsia" w:hAnsiTheme="minorEastAsia"/>
                <w:sz w:val="18"/>
                <w:szCs w:val="18"/>
                <w:highlight w:val="none"/>
              </w:rPr>
              <w:t>其它教育活动时间</w:t>
            </w:r>
          </w:p>
        </w:tc>
        <w:tc>
          <w:tcPr>
            <w:tcW w:w="2120" w:type="dxa"/>
            <w:vAlign w:val="center"/>
          </w:tcPr>
          <w:p w14:paraId="1EC3D522">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r>
              <w:rPr>
                <w:rFonts w:hint="eastAsia" w:asciiTheme="minorEastAsia" w:hAnsiTheme="minorEastAsia"/>
                <w:sz w:val="18"/>
                <w:szCs w:val="18"/>
                <w:highlight w:val="none"/>
              </w:rPr>
              <w:t>课程考核</w:t>
            </w:r>
          </w:p>
        </w:tc>
        <w:tc>
          <w:tcPr>
            <w:tcW w:w="720" w:type="dxa"/>
            <w:vAlign w:val="center"/>
          </w:tcPr>
          <w:p w14:paraId="47BD00C8">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774" w:type="dxa"/>
            <w:vAlign w:val="center"/>
          </w:tcPr>
          <w:p w14:paraId="46400025">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766" w:type="dxa"/>
            <w:vAlign w:val="center"/>
          </w:tcPr>
          <w:p w14:paraId="0BB48D28">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685" w:type="dxa"/>
            <w:vAlign w:val="center"/>
          </w:tcPr>
          <w:p w14:paraId="4D6B39F8">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630" w:type="dxa"/>
            <w:vAlign w:val="center"/>
          </w:tcPr>
          <w:p w14:paraId="35A9A912">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689" w:type="dxa"/>
            <w:vAlign w:val="center"/>
          </w:tcPr>
          <w:p w14:paraId="786EE6F2">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p>
        </w:tc>
        <w:tc>
          <w:tcPr>
            <w:tcW w:w="1023" w:type="dxa"/>
            <w:vAlign w:val="center"/>
          </w:tcPr>
          <w:p w14:paraId="6D4039AC">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5</w:t>
            </w:r>
          </w:p>
        </w:tc>
      </w:tr>
      <w:tr w14:paraId="1B42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14:paraId="39A7A78C">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3</w:t>
            </w:r>
          </w:p>
        </w:tc>
        <w:tc>
          <w:tcPr>
            <w:tcW w:w="931" w:type="dxa"/>
            <w:vMerge w:val="continue"/>
            <w:vAlign w:val="center"/>
          </w:tcPr>
          <w:p w14:paraId="5A7BE71C">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p>
        </w:tc>
        <w:tc>
          <w:tcPr>
            <w:tcW w:w="2120" w:type="dxa"/>
            <w:vAlign w:val="center"/>
          </w:tcPr>
          <w:p w14:paraId="2DAF07B6">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r>
              <w:rPr>
                <w:rFonts w:hint="eastAsia" w:asciiTheme="minorEastAsia" w:hAnsiTheme="minorEastAsia"/>
                <w:sz w:val="18"/>
                <w:szCs w:val="18"/>
                <w:highlight w:val="none"/>
              </w:rPr>
              <w:t>机动</w:t>
            </w:r>
          </w:p>
        </w:tc>
        <w:tc>
          <w:tcPr>
            <w:tcW w:w="720" w:type="dxa"/>
            <w:vAlign w:val="center"/>
          </w:tcPr>
          <w:p w14:paraId="5A8F95D3">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774" w:type="dxa"/>
            <w:vAlign w:val="center"/>
          </w:tcPr>
          <w:p w14:paraId="63DC9D87">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766" w:type="dxa"/>
            <w:vAlign w:val="center"/>
          </w:tcPr>
          <w:p w14:paraId="3834FEE8">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685" w:type="dxa"/>
            <w:vAlign w:val="center"/>
          </w:tcPr>
          <w:p w14:paraId="0D10793B">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630" w:type="dxa"/>
            <w:vAlign w:val="center"/>
          </w:tcPr>
          <w:p w14:paraId="281F966B">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689" w:type="dxa"/>
            <w:vAlign w:val="center"/>
          </w:tcPr>
          <w:p w14:paraId="3B0A3F2A">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3</w:t>
            </w:r>
          </w:p>
        </w:tc>
        <w:tc>
          <w:tcPr>
            <w:tcW w:w="1023" w:type="dxa"/>
            <w:vAlign w:val="center"/>
          </w:tcPr>
          <w:p w14:paraId="30DEFE15">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8</w:t>
            </w:r>
          </w:p>
        </w:tc>
      </w:tr>
      <w:tr w14:paraId="4099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14:paraId="3E811597">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4</w:t>
            </w:r>
          </w:p>
        </w:tc>
        <w:tc>
          <w:tcPr>
            <w:tcW w:w="931" w:type="dxa"/>
            <w:vMerge w:val="continue"/>
            <w:vAlign w:val="center"/>
          </w:tcPr>
          <w:p w14:paraId="05771106">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p>
        </w:tc>
        <w:tc>
          <w:tcPr>
            <w:tcW w:w="2120" w:type="dxa"/>
            <w:vAlign w:val="center"/>
          </w:tcPr>
          <w:p w14:paraId="3B2D622E">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r>
              <w:rPr>
                <w:rFonts w:hint="eastAsia" w:asciiTheme="minorEastAsia" w:hAnsiTheme="minorEastAsia"/>
                <w:sz w:val="18"/>
                <w:szCs w:val="18"/>
                <w:highlight w:val="none"/>
              </w:rPr>
              <w:t>入学教育、军事技能训练</w:t>
            </w:r>
          </w:p>
        </w:tc>
        <w:tc>
          <w:tcPr>
            <w:tcW w:w="720" w:type="dxa"/>
            <w:vAlign w:val="center"/>
          </w:tcPr>
          <w:p w14:paraId="42B917AC">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2</w:t>
            </w:r>
          </w:p>
        </w:tc>
        <w:tc>
          <w:tcPr>
            <w:tcW w:w="774" w:type="dxa"/>
            <w:vAlign w:val="center"/>
          </w:tcPr>
          <w:p w14:paraId="24063214">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w:t>
            </w:r>
          </w:p>
        </w:tc>
        <w:tc>
          <w:tcPr>
            <w:tcW w:w="766" w:type="dxa"/>
            <w:vAlign w:val="center"/>
          </w:tcPr>
          <w:p w14:paraId="7D52BB7A">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w:t>
            </w:r>
          </w:p>
        </w:tc>
        <w:tc>
          <w:tcPr>
            <w:tcW w:w="685" w:type="dxa"/>
            <w:vAlign w:val="center"/>
          </w:tcPr>
          <w:p w14:paraId="6683FDC6">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w:t>
            </w:r>
          </w:p>
        </w:tc>
        <w:tc>
          <w:tcPr>
            <w:tcW w:w="630" w:type="dxa"/>
            <w:vAlign w:val="center"/>
          </w:tcPr>
          <w:p w14:paraId="3F964EFC">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w:t>
            </w:r>
          </w:p>
        </w:tc>
        <w:tc>
          <w:tcPr>
            <w:tcW w:w="689" w:type="dxa"/>
            <w:vAlign w:val="center"/>
          </w:tcPr>
          <w:p w14:paraId="4FC1C189">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p>
        </w:tc>
        <w:tc>
          <w:tcPr>
            <w:tcW w:w="1023" w:type="dxa"/>
            <w:vAlign w:val="center"/>
          </w:tcPr>
          <w:p w14:paraId="39585574">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2</w:t>
            </w:r>
          </w:p>
        </w:tc>
      </w:tr>
      <w:tr w14:paraId="0227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14:paraId="06058CCD">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5</w:t>
            </w:r>
          </w:p>
        </w:tc>
        <w:tc>
          <w:tcPr>
            <w:tcW w:w="931" w:type="dxa"/>
            <w:vMerge w:val="continue"/>
            <w:vAlign w:val="center"/>
          </w:tcPr>
          <w:p w14:paraId="725EBFAE">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p>
        </w:tc>
        <w:tc>
          <w:tcPr>
            <w:tcW w:w="2120" w:type="dxa"/>
            <w:vAlign w:val="center"/>
          </w:tcPr>
          <w:p w14:paraId="7F726EF1">
            <w:pPr>
              <w:keepNext w:val="0"/>
              <w:keepLines w:val="0"/>
              <w:suppressLineNumbers w:val="0"/>
              <w:spacing w:before="0" w:beforeAutospacing="0" w:after="0" w:afterAutospacing="0"/>
              <w:ind w:left="0" w:right="0"/>
              <w:rPr>
                <w:rFonts w:hint="default" w:asciiTheme="minorEastAsia" w:hAnsiTheme="minorEastAsia"/>
                <w:sz w:val="18"/>
                <w:szCs w:val="18"/>
                <w:highlight w:val="none"/>
              </w:rPr>
            </w:pPr>
            <w:r>
              <w:rPr>
                <w:rFonts w:hint="eastAsia" w:asciiTheme="minorEastAsia" w:hAnsiTheme="minorEastAsia"/>
                <w:sz w:val="18"/>
                <w:szCs w:val="18"/>
                <w:highlight w:val="none"/>
              </w:rPr>
              <w:t>毕业教育、毕业离校</w:t>
            </w:r>
          </w:p>
        </w:tc>
        <w:tc>
          <w:tcPr>
            <w:tcW w:w="720" w:type="dxa"/>
            <w:vAlign w:val="center"/>
          </w:tcPr>
          <w:p w14:paraId="6FDBEFD3">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w:t>
            </w:r>
          </w:p>
        </w:tc>
        <w:tc>
          <w:tcPr>
            <w:tcW w:w="774" w:type="dxa"/>
            <w:vAlign w:val="center"/>
          </w:tcPr>
          <w:p w14:paraId="357382A8">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w:t>
            </w:r>
          </w:p>
        </w:tc>
        <w:tc>
          <w:tcPr>
            <w:tcW w:w="766" w:type="dxa"/>
            <w:vAlign w:val="center"/>
          </w:tcPr>
          <w:p w14:paraId="522222F3">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w:t>
            </w:r>
          </w:p>
        </w:tc>
        <w:tc>
          <w:tcPr>
            <w:tcW w:w="685" w:type="dxa"/>
            <w:vAlign w:val="center"/>
          </w:tcPr>
          <w:p w14:paraId="1F5C6098">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w:t>
            </w:r>
          </w:p>
        </w:tc>
        <w:tc>
          <w:tcPr>
            <w:tcW w:w="630" w:type="dxa"/>
            <w:vAlign w:val="center"/>
          </w:tcPr>
          <w:p w14:paraId="7C0F20C0">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w:t>
            </w:r>
          </w:p>
        </w:tc>
        <w:tc>
          <w:tcPr>
            <w:tcW w:w="689" w:type="dxa"/>
            <w:vAlign w:val="center"/>
          </w:tcPr>
          <w:p w14:paraId="7E66BB68">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c>
          <w:tcPr>
            <w:tcW w:w="1023" w:type="dxa"/>
            <w:vAlign w:val="center"/>
          </w:tcPr>
          <w:p w14:paraId="6434CA9D">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w:t>
            </w:r>
          </w:p>
        </w:tc>
      </w:tr>
      <w:tr w14:paraId="2B37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3" w:type="dxa"/>
            <w:gridSpan w:val="3"/>
            <w:vAlign w:val="center"/>
          </w:tcPr>
          <w:p w14:paraId="5A90E40D">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合计</w:t>
            </w:r>
          </w:p>
        </w:tc>
        <w:tc>
          <w:tcPr>
            <w:tcW w:w="720" w:type="dxa"/>
            <w:vAlign w:val="center"/>
          </w:tcPr>
          <w:p w14:paraId="7A2F2B26">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20</w:t>
            </w:r>
          </w:p>
        </w:tc>
        <w:tc>
          <w:tcPr>
            <w:tcW w:w="774" w:type="dxa"/>
            <w:vAlign w:val="center"/>
          </w:tcPr>
          <w:p w14:paraId="168E023E">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20</w:t>
            </w:r>
          </w:p>
        </w:tc>
        <w:tc>
          <w:tcPr>
            <w:tcW w:w="766" w:type="dxa"/>
            <w:vAlign w:val="center"/>
          </w:tcPr>
          <w:p w14:paraId="189451B4">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20</w:t>
            </w:r>
          </w:p>
        </w:tc>
        <w:tc>
          <w:tcPr>
            <w:tcW w:w="685" w:type="dxa"/>
            <w:vAlign w:val="center"/>
          </w:tcPr>
          <w:p w14:paraId="232DB526">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20</w:t>
            </w:r>
          </w:p>
        </w:tc>
        <w:tc>
          <w:tcPr>
            <w:tcW w:w="630" w:type="dxa"/>
            <w:vAlign w:val="center"/>
          </w:tcPr>
          <w:p w14:paraId="1907B498">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20</w:t>
            </w:r>
          </w:p>
        </w:tc>
        <w:tc>
          <w:tcPr>
            <w:tcW w:w="689" w:type="dxa"/>
            <w:vAlign w:val="center"/>
          </w:tcPr>
          <w:p w14:paraId="023874EC">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20</w:t>
            </w:r>
          </w:p>
        </w:tc>
        <w:tc>
          <w:tcPr>
            <w:tcW w:w="1023" w:type="dxa"/>
            <w:vAlign w:val="center"/>
          </w:tcPr>
          <w:p w14:paraId="6A0A9AE5">
            <w:pPr>
              <w:keepNext w:val="0"/>
              <w:keepLines w:val="0"/>
              <w:suppressLineNumbers w:val="0"/>
              <w:spacing w:before="0" w:beforeAutospacing="0" w:after="0" w:afterAutospacing="0"/>
              <w:ind w:left="0" w:right="0"/>
              <w:jc w:val="center"/>
              <w:rPr>
                <w:rFonts w:hint="default" w:asciiTheme="minorEastAsia" w:hAnsiTheme="minorEastAsia"/>
                <w:sz w:val="18"/>
                <w:szCs w:val="18"/>
                <w:highlight w:val="none"/>
              </w:rPr>
            </w:pPr>
            <w:r>
              <w:rPr>
                <w:rFonts w:hint="eastAsia" w:asciiTheme="minorEastAsia" w:hAnsiTheme="minorEastAsia"/>
                <w:sz w:val="18"/>
                <w:szCs w:val="18"/>
                <w:highlight w:val="none"/>
              </w:rPr>
              <w:t>120</w:t>
            </w:r>
          </w:p>
        </w:tc>
      </w:tr>
    </w:tbl>
    <w:p w14:paraId="36FEDA70">
      <w:pPr>
        <w:keepNext/>
        <w:keepLines/>
        <w:adjustRightInd w:val="0"/>
        <w:snapToGrid w:val="0"/>
        <w:spacing w:before="100" w:beforeAutospacing="1" w:after="100" w:afterAutospacing="1"/>
        <w:ind w:left="420" w:leftChars="200"/>
        <w:outlineLvl w:val="0"/>
        <w:rPr>
          <w:rFonts w:eastAsia="黑体"/>
          <w:bCs/>
          <w:kern w:val="44"/>
          <w:sz w:val="28"/>
          <w:szCs w:val="44"/>
          <w:highlight w:val="none"/>
        </w:rPr>
      </w:pPr>
      <w:bookmarkStart w:id="21" w:name="_Toc89793284"/>
      <w:r>
        <w:rPr>
          <w:rFonts w:hint="eastAsia" w:eastAsia="黑体"/>
          <w:bCs/>
          <w:kern w:val="44"/>
          <w:sz w:val="28"/>
          <w:szCs w:val="44"/>
          <w:highlight w:val="none"/>
        </w:rPr>
        <w:t>八、实施保障</w:t>
      </w:r>
      <w:bookmarkEnd w:id="21"/>
    </w:p>
    <w:p w14:paraId="65A1FB09">
      <w:pPr>
        <w:keepNext/>
        <w:keepLines/>
        <w:snapToGrid w:val="0"/>
        <w:spacing w:before="100" w:beforeAutospacing="1" w:after="100" w:afterAutospacing="1"/>
        <w:ind w:left="420" w:leftChars="200"/>
        <w:outlineLvl w:val="1"/>
        <w:rPr>
          <w:rFonts w:hint="eastAsia" w:eastAsia="楷体" w:asciiTheme="majorHAnsi" w:hAnsiTheme="majorHAnsi" w:cstheme="majorBidi"/>
          <w:bCs/>
          <w:sz w:val="28"/>
          <w:szCs w:val="32"/>
        </w:rPr>
      </w:pPr>
      <w:bookmarkStart w:id="22" w:name="_Toc89793285"/>
      <w:bookmarkStart w:id="23" w:name="_Toc22141897"/>
      <w:r>
        <w:rPr>
          <w:rFonts w:hint="eastAsia" w:eastAsia="楷体" w:asciiTheme="majorHAnsi" w:hAnsiTheme="majorHAnsi" w:cstheme="majorBidi"/>
          <w:bCs/>
          <w:sz w:val="28"/>
          <w:szCs w:val="32"/>
        </w:rPr>
        <w:t>（一）师资队伍</w:t>
      </w:r>
      <w:bookmarkEnd w:id="22"/>
    </w:p>
    <w:p w14:paraId="29C1D1CC">
      <w:pPr>
        <w:keepNext/>
        <w:keepLines/>
        <w:spacing w:before="234" w:beforeLines="75" w:after="234" w:afterLines="75" w:line="280" w:lineRule="exact"/>
        <w:ind w:left="420" w:leftChars="200"/>
        <w:outlineLvl w:val="2"/>
        <w:rPr>
          <w:rFonts w:hint="eastAsia" w:ascii="仿宋" w:hAnsi="仿宋" w:eastAsia="仿宋"/>
          <w:b/>
          <w:bCs/>
          <w:szCs w:val="32"/>
        </w:rPr>
      </w:pPr>
      <w:r>
        <w:rPr>
          <w:rFonts w:hint="eastAsia" w:ascii="仿宋" w:hAnsi="仿宋" w:eastAsia="仿宋"/>
          <w:b/>
          <w:bCs/>
          <w:szCs w:val="32"/>
        </w:rPr>
        <w:t>1.队伍结构</w:t>
      </w:r>
    </w:p>
    <w:p w14:paraId="692A2544">
      <w:pPr>
        <w:overflowPunct w:val="0"/>
        <w:spacing w:line="440" w:lineRule="exact"/>
        <w:ind w:firstLine="420" w:firstLineChars="200"/>
        <w:rPr>
          <w:rFonts w:asciiTheme="minorEastAsia" w:hAnsiTheme="minorEastAsia"/>
        </w:rPr>
      </w:pPr>
      <w:r>
        <w:rPr>
          <w:rFonts w:hint="eastAsia" w:asciiTheme="minorEastAsia" w:hAnsiTheme="minorEastAsia"/>
        </w:rPr>
        <w:t>本专业专任教师49人，兼职教师35人，双师素质教师41人，高级职称教师16人，学生数与专任教师数比例为</w:t>
      </w:r>
      <w:r>
        <w:rPr>
          <w:rFonts w:asciiTheme="minorEastAsia" w:hAnsiTheme="minorEastAsia"/>
        </w:rPr>
        <w:t>2</w:t>
      </w:r>
      <w:r>
        <w:rPr>
          <w:rFonts w:hint="eastAsia" w:asciiTheme="minorEastAsia" w:hAnsiTheme="minorEastAsia"/>
        </w:rPr>
        <w:t>3</w:t>
      </w:r>
      <w:r>
        <w:rPr>
          <w:rFonts w:asciiTheme="minorEastAsia" w:hAnsiTheme="minorEastAsia"/>
        </w:rPr>
        <w:t>:1</w:t>
      </w:r>
      <w:r>
        <w:rPr>
          <w:rFonts w:hint="eastAsia" w:asciiTheme="minorEastAsia" w:hAnsiTheme="minorEastAsia"/>
        </w:rPr>
        <w:t>，双师素质教师占专业教师比达83.7</w:t>
      </w:r>
      <w:r>
        <w:rPr>
          <w:rFonts w:asciiTheme="minorEastAsia" w:hAnsiTheme="minorEastAsia"/>
        </w:rPr>
        <w:t>%</w:t>
      </w:r>
      <w:r>
        <w:rPr>
          <w:rFonts w:hint="eastAsia" w:asciiTheme="minorEastAsia" w:hAnsiTheme="minorEastAsia"/>
        </w:rPr>
        <w:t>，研究生学历教师达100%，职称、年龄、学历结构合理。</w:t>
      </w:r>
    </w:p>
    <w:p w14:paraId="248656C6">
      <w:pPr>
        <w:keepNext/>
        <w:keepLines/>
        <w:spacing w:before="234" w:beforeLines="75" w:after="234" w:afterLines="75" w:line="280" w:lineRule="exact"/>
        <w:ind w:left="420" w:leftChars="200"/>
        <w:outlineLvl w:val="2"/>
        <w:rPr>
          <w:rFonts w:hint="eastAsia" w:ascii="仿宋" w:hAnsi="仿宋" w:eastAsia="仿宋"/>
          <w:b/>
          <w:bCs/>
          <w:szCs w:val="32"/>
        </w:rPr>
      </w:pPr>
      <w:r>
        <w:rPr>
          <w:rFonts w:hint="eastAsia" w:ascii="仿宋" w:hAnsi="仿宋" w:eastAsia="仿宋"/>
          <w:b/>
          <w:bCs/>
          <w:szCs w:val="32"/>
        </w:rPr>
        <w:t>2.专任教师</w:t>
      </w:r>
    </w:p>
    <w:p w14:paraId="0EFD4E41">
      <w:pPr>
        <w:overflowPunct w:val="0"/>
        <w:spacing w:line="440" w:lineRule="exact"/>
        <w:ind w:firstLine="420" w:firstLineChars="200"/>
        <w:rPr>
          <w:rFonts w:asciiTheme="minorEastAsia" w:hAnsiTheme="minorEastAsia"/>
        </w:rPr>
      </w:pPr>
      <w:r>
        <w:rPr>
          <w:rFonts w:hint="eastAsia" w:asciiTheme="minorEastAsia" w:hAnsiTheme="minorEastAsia"/>
        </w:rPr>
        <w:t>本专业所有专任教师均具有高校教师资格；有理想信念、有道德情操、有扎实学识、有仁爱之心；具有与英语或商务相关专业的研究生以上学历；具有扎实的本专业相关理论功底和实践能力；具有较强的信息化教学能力，能够开展课程思政和教学改革、科学研究；能够跟踪新经济、新技术发展前沿。下企业工作每</w:t>
      </w:r>
      <w:r>
        <w:rPr>
          <w:rFonts w:asciiTheme="minorEastAsia" w:hAnsiTheme="minorEastAsia"/>
        </w:rPr>
        <w:t>5年累计</w:t>
      </w:r>
      <w:r>
        <w:rPr>
          <w:rFonts w:hint="eastAsia" w:asciiTheme="minorEastAsia" w:hAnsiTheme="minorEastAsia"/>
        </w:rPr>
        <w:t>均</w:t>
      </w:r>
      <w:r>
        <w:rPr>
          <w:rFonts w:asciiTheme="minorEastAsia" w:hAnsiTheme="minorEastAsia"/>
        </w:rPr>
        <w:t>超过半年。</w:t>
      </w:r>
    </w:p>
    <w:p w14:paraId="688D763C">
      <w:pPr>
        <w:keepNext/>
        <w:keepLines/>
        <w:spacing w:before="234" w:beforeLines="75" w:after="234" w:afterLines="75" w:line="280" w:lineRule="exact"/>
        <w:ind w:left="420" w:leftChars="200"/>
        <w:outlineLvl w:val="2"/>
        <w:rPr>
          <w:rFonts w:hint="eastAsia" w:ascii="仿宋" w:hAnsi="仿宋" w:eastAsia="仿宋"/>
          <w:b/>
          <w:bCs/>
          <w:szCs w:val="32"/>
        </w:rPr>
      </w:pPr>
      <w:r>
        <w:rPr>
          <w:rFonts w:hint="eastAsia" w:ascii="仿宋" w:hAnsi="仿宋" w:eastAsia="仿宋"/>
          <w:b/>
          <w:bCs/>
          <w:szCs w:val="32"/>
        </w:rPr>
        <w:t>3.专业带头人</w:t>
      </w:r>
    </w:p>
    <w:p w14:paraId="7323F1C9">
      <w:pPr>
        <w:overflowPunct w:val="0"/>
        <w:spacing w:line="440" w:lineRule="exact"/>
        <w:ind w:firstLine="420" w:firstLineChars="200"/>
        <w:rPr>
          <w:rFonts w:asciiTheme="minorEastAsia" w:hAnsiTheme="minorEastAsia"/>
        </w:rPr>
      </w:pPr>
      <w:r>
        <w:rPr>
          <w:rFonts w:hint="eastAsia" w:asciiTheme="minorEastAsia" w:hAnsiTheme="minorEastAsia"/>
        </w:rPr>
        <w:t>本专业具有教授职称专业带头人1名，企业高管兼职专业带头人1名，能够较好地把握国内外商务服务业、批发业和零售业等行业及专业发展，能广泛联系行业企业，了解行业企业对本专业人才的需求实际，教学设计、专业研究能力强，组织开展教科研工作能力强，在本区域或本领域具有一定的专业影响力。</w:t>
      </w:r>
    </w:p>
    <w:p w14:paraId="2F30D937">
      <w:pPr>
        <w:keepNext/>
        <w:keepLines/>
        <w:spacing w:before="234" w:beforeLines="75" w:after="234" w:afterLines="75" w:line="280" w:lineRule="exact"/>
        <w:ind w:left="420" w:leftChars="200"/>
        <w:outlineLvl w:val="2"/>
        <w:rPr>
          <w:rFonts w:hint="eastAsia" w:ascii="仿宋" w:hAnsi="仿宋" w:eastAsia="仿宋"/>
          <w:b/>
          <w:bCs/>
          <w:szCs w:val="32"/>
        </w:rPr>
      </w:pPr>
      <w:r>
        <w:rPr>
          <w:rFonts w:hint="eastAsia" w:ascii="仿宋" w:hAnsi="仿宋" w:eastAsia="仿宋"/>
          <w:b/>
          <w:bCs/>
          <w:szCs w:val="32"/>
        </w:rPr>
        <w:t>4.兼职教师</w:t>
      </w:r>
    </w:p>
    <w:p w14:paraId="6C6485BC">
      <w:pPr>
        <w:overflowPunct w:val="0"/>
        <w:spacing w:line="440" w:lineRule="exact"/>
        <w:ind w:firstLine="420" w:firstLineChars="200"/>
        <w:rPr>
          <w:rFonts w:asciiTheme="minorEastAsia" w:hAnsiTheme="minorEastAsia"/>
        </w:rPr>
      </w:pPr>
      <w:r>
        <w:rPr>
          <w:rFonts w:hint="eastAsia" w:asciiTheme="minorEastAsia" w:hAnsiTheme="minorEastAsia"/>
        </w:rPr>
        <w:t>本专业兼职教师全部从本专业相关的行业企业聘任，具备良好的思想政治素质、职业道德和工匠精神，具有扎实的专业知识和丰富的实际工作经验，具有中级及以上行业相关专业技术资格达90以上，能承担课程与实训教学、实习指导等专业教学任务。</w:t>
      </w:r>
    </w:p>
    <w:p w14:paraId="25AD5CC8">
      <w:pPr>
        <w:keepNext/>
        <w:keepLines/>
        <w:snapToGrid w:val="0"/>
        <w:spacing w:before="100" w:beforeAutospacing="1" w:after="100" w:afterAutospacing="1"/>
        <w:ind w:left="420" w:leftChars="200"/>
        <w:outlineLvl w:val="1"/>
        <w:rPr>
          <w:rFonts w:hint="eastAsia" w:eastAsia="楷体" w:asciiTheme="majorHAnsi" w:hAnsiTheme="majorHAnsi" w:cstheme="majorBidi"/>
          <w:bCs/>
          <w:sz w:val="28"/>
          <w:szCs w:val="32"/>
        </w:rPr>
      </w:pPr>
      <w:bookmarkStart w:id="24" w:name="_Toc89793286"/>
      <w:r>
        <w:rPr>
          <w:rFonts w:hint="eastAsia" w:eastAsia="楷体" w:asciiTheme="majorHAnsi" w:hAnsiTheme="majorHAnsi" w:cstheme="majorBidi"/>
          <w:bCs/>
          <w:sz w:val="28"/>
          <w:szCs w:val="32"/>
        </w:rPr>
        <w:t>（二）教学设施</w:t>
      </w:r>
      <w:bookmarkEnd w:id="24"/>
    </w:p>
    <w:p w14:paraId="0B7ACC2C">
      <w:pPr>
        <w:overflowPunct w:val="0"/>
        <w:spacing w:line="440" w:lineRule="exact"/>
        <w:ind w:firstLine="420" w:firstLineChars="200"/>
        <w:rPr>
          <w:rFonts w:asciiTheme="minorEastAsia" w:hAnsiTheme="minorEastAsia"/>
        </w:rPr>
      </w:pPr>
      <w:r>
        <w:rPr>
          <w:rFonts w:hint="eastAsia" w:asciiTheme="minorEastAsia" w:hAnsiTheme="minorEastAsia"/>
        </w:rPr>
        <w:t>本专业的教学设施主要包括能够满足正常的课程教学、实习实训所需的专业教室、实训室和实训基地，具体见表11。</w:t>
      </w:r>
    </w:p>
    <w:p w14:paraId="3C25F576">
      <w:pPr>
        <w:keepNext/>
        <w:keepLines/>
        <w:spacing w:before="234" w:beforeLines="75" w:after="234" w:afterLines="75" w:line="280" w:lineRule="exact"/>
        <w:ind w:left="420" w:leftChars="200"/>
        <w:outlineLvl w:val="2"/>
        <w:rPr>
          <w:rFonts w:hint="eastAsia" w:ascii="仿宋" w:hAnsi="仿宋" w:eastAsia="仿宋"/>
          <w:b/>
          <w:bCs/>
          <w:szCs w:val="32"/>
        </w:rPr>
      </w:pPr>
      <w:r>
        <w:rPr>
          <w:rFonts w:hint="eastAsia" w:ascii="仿宋" w:hAnsi="仿宋" w:eastAsia="仿宋"/>
          <w:b/>
          <w:bCs/>
          <w:szCs w:val="32"/>
        </w:rPr>
        <w:t>1.专业教室基本情况</w:t>
      </w:r>
    </w:p>
    <w:p w14:paraId="27B120C5">
      <w:pPr>
        <w:overflowPunct w:val="0"/>
        <w:spacing w:line="440" w:lineRule="exact"/>
        <w:ind w:firstLine="420" w:firstLineChars="200"/>
        <w:rPr>
          <w:rFonts w:asciiTheme="minorEastAsia" w:hAnsiTheme="minorEastAsia"/>
        </w:rPr>
      </w:pPr>
      <w:r>
        <w:rPr>
          <w:rFonts w:hint="eastAsia" w:asciiTheme="minorEastAsia" w:hAnsiTheme="minorEastAsia"/>
        </w:rPr>
        <w:t>本专业教室全部配备黑（白）板、多媒体计算机、投影设备、音响设备，互联网接入或无线网络环境，并具有网络安全防护措施。安装有应急照明装置并保持良好状态，符合紧急疏散要求、标志明显、保持逃生通道畅通无阻。</w:t>
      </w:r>
    </w:p>
    <w:p w14:paraId="36FFA810">
      <w:pPr>
        <w:keepNext/>
        <w:keepLines/>
        <w:spacing w:before="234" w:beforeLines="75" w:after="234" w:afterLines="75" w:line="280" w:lineRule="exact"/>
        <w:ind w:left="420" w:leftChars="200"/>
        <w:outlineLvl w:val="2"/>
        <w:rPr>
          <w:rFonts w:hint="eastAsia" w:ascii="仿宋" w:hAnsi="仿宋" w:eastAsia="仿宋"/>
          <w:b/>
          <w:bCs/>
          <w:szCs w:val="32"/>
        </w:rPr>
      </w:pPr>
      <w:r>
        <w:rPr>
          <w:rFonts w:hint="eastAsia" w:ascii="仿宋" w:hAnsi="仿宋" w:eastAsia="仿宋"/>
          <w:b/>
          <w:bCs/>
          <w:szCs w:val="32"/>
        </w:rPr>
        <w:t>2.校内实训室基本情况</w:t>
      </w:r>
    </w:p>
    <w:p w14:paraId="6DE12515">
      <w:pPr>
        <w:overflowPunct w:val="0"/>
        <w:spacing w:line="440" w:lineRule="exact"/>
        <w:ind w:firstLine="420" w:firstLineChars="200"/>
        <w:rPr>
          <w:rFonts w:asciiTheme="minorEastAsia" w:hAnsiTheme="minorEastAsia"/>
        </w:rPr>
      </w:pPr>
      <w:r>
        <w:rPr>
          <w:rFonts w:hint="eastAsia" w:asciiTheme="minorEastAsia" w:hAnsiTheme="minorEastAsia"/>
        </w:rPr>
        <w:t>均配备白板、座椅、课桌、教师主控台、服务器、投影设备、音响设备、电脑、互联网接入或无线网络环境，以及各种专业相关实训软件等，可以满足专业实训教学和1+X职业资格培训和考证。</w:t>
      </w:r>
    </w:p>
    <w:p w14:paraId="5B113ED7">
      <w:pPr>
        <w:keepNext/>
        <w:keepLines/>
        <w:spacing w:before="234" w:beforeLines="75" w:after="234" w:afterLines="75" w:line="280" w:lineRule="exact"/>
        <w:ind w:left="420" w:leftChars="200"/>
        <w:outlineLvl w:val="2"/>
        <w:rPr>
          <w:rFonts w:hint="eastAsia" w:ascii="仿宋" w:hAnsi="仿宋" w:eastAsia="仿宋"/>
          <w:b/>
          <w:bCs/>
          <w:szCs w:val="32"/>
        </w:rPr>
      </w:pPr>
      <w:r>
        <w:rPr>
          <w:rFonts w:hint="eastAsia" w:ascii="仿宋" w:hAnsi="仿宋" w:eastAsia="仿宋"/>
          <w:b/>
          <w:bCs/>
          <w:szCs w:val="32"/>
        </w:rPr>
        <w:t>3.校外实训基地基本情况</w:t>
      </w:r>
    </w:p>
    <w:p w14:paraId="3C9D738E">
      <w:pPr>
        <w:overflowPunct w:val="0"/>
        <w:spacing w:line="440" w:lineRule="exact"/>
        <w:ind w:firstLine="420" w:firstLineChars="200"/>
        <w:rPr>
          <w:rFonts w:asciiTheme="minorEastAsia" w:hAnsiTheme="minorEastAsia"/>
        </w:rPr>
      </w:pPr>
      <w:r>
        <w:rPr>
          <w:rFonts w:hint="eastAsia" w:asciiTheme="minorEastAsia" w:hAnsiTheme="minorEastAsia"/>
        </w:rPr>
        <w:t>具有稳定的校外实训基地。实训设施齐备，实训岗位、实训指导教师确定，能够满足开展商务翻译、进出口业务操作、跨境电子商务平台操作、涉外商务事务处理等实训活动的要求，实训管理及实施规章制度齐全。能提供商务翻译、外贸业务员、跨境电子商务运营专员、涉外商务助理等相关实习岗位，能涵盖当前相关产业发展的主流技术，可接纳一定规模的学生实习；能够配备相应数量的指导教师对学生实习进行指导和管理；有保证实习生日常工作、学习、生活的规章制度，有安全、保险保障。</w:t>
      </w:r>
    </w:p>
    <w:p w14:paraId="082A1006">
      <w:pPr>
        <w:jc w:val="center"/>
      </w:pPr>
      <w:r>
        <w:rPr>
          <w:rFonts w:hint="eastAsia"/>
        </w:rPr>
        <w:t>表11 教学设施情况表</w:t>
      </w:r>
    </w:p>
    <w:tbl>
      <w:tblPr>
        <w:tblStyle w:val="16"/>
        <w:tblW w:w="8505" w:type="dxa"/>
        <w:jc w:val="center"/>
        <w:tblCellSpacing w:w="0" w:type="dxa"/>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Layout w:type="fixed"/>
        <w:tblCellMar>
          <w:top w:w="0" w:type="dxa"/>
          <w:left w:w="0" w:type="dxa"/>
          <w:bottom w:w="0" w:type="dxa"/>
          <w:right w:w="0" w:type="dxa"/>
        </w:tblCellMar>
      </w:tblPr>
      <w:tblGrid>
        <w:gridCol w:w="674"/>
        <w:gridCol w:w="1701"/>
        <w:gridCol w:w="567"/>
        <w:gridCol w:w="3544"/>
        <w:gridCol w:w="2019"/>
      </w:tblGrid>
      <w:tr w14:paraId="012BFC53">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0299221A">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b/>
                <w:bCs/>
                <w:kern w:val="0"/>
                <w:szCs w:val="21"/>
              </w:rPr>
            </w:pPr>
            <w:r>
              <w:rPr>
                <w:rFonts w:hint="eastAsia" w:ascii="宋体" w:hAnsi="宋体" w:eastAsia="宋体" w:cs="Times New Roman"/>
                <w:b/>
                <w:bCs/>
                <w:kern w:val="0"/>
                <w:szCs w:val="21"/>
              </w:rPr>
              <w:t>编号</w:t>
            </w:r>
          </w:p>
        </w:tc>
        <w:tc>
          <w:tcPr>
            <w:tcW w:w="1701" w:type="dxa"/>
            <w:tcBorders>
              <w:top w:val="outset" w:color="95BB9F" w:sz="6" w:space="0"/>
              <w:left w:val="outset" w:color="95BB9F" w:sz="6" w:space="0"/>
              <w:bottom w:val="outset" w:color="95BB9F" w:sz="6" w:space="0"/>
              <w:right w:val="outset" w:color="95BB9F" w:sz="6" w:space="0"/>
            </w:tcBorders>
            <w:shd w:val="clear" w:color="auto" w:fill="auto"/>
            <w:vAlign w:val="center"/>
          </w:tcPr>
          <w:p w14:paraId="57707F28">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Cs w:val="21"/>
              </w:rPr>
            </w:pPr>
            <w:r>
              <w:rPr>
                <w:rFonts w:hint="eastAsia" w:ascii="宋体" w:hAnsi="宋体" w:eastAsia="宋体" w:cs="Times New Roman"/>
                <w:b/>
                <w:bCs/>
                <w:kern w:val="0"/>
                <w:szCs w:val="21"/>
              </w:rPr>
              <w:t>教学、实训场室</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5B6FAC04">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Cs w:val="21"/>
              </w:rPr>
            </w:pPr>
            <w:r>
              <w:rPr>
                <w:rFonts w:hint="eastAsia" w:ascii="宋体" w:hAnsi="宋体" w:eastAsia="宋体" w:cs="Times New Roman"/>
                <w:b/>
                <w:bCs/>
                <w:kern w:val="0"/>
                <w:szCs w:val="21"/>
              </w:rPr>
              <w:t>数量</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2124C9EF">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Cs w:val="21"/>
              </w:rPr>
            </w:pPr>
            <w:r>
              <w:rPr>
                <w:rFonts w:hint="eastAsia" w:ascii="宋体" w:hAnsi="宋体" w:eastAsia="宋体" w:cs="Times New Roman"/>
                <w:b/>
                <w:bCs/>
                <w:kern w:val="0"/>
                <w:szCs w:val="21"/>
              </w:rPr>
              <w:t>主要功能</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4BE300AB">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Cs w:val="21"/>
              </w:rPr>
            </w:pPr>
            <w:r>
              <w:rPr>
                <w:rFonts w:hint="eastAsia" w:ascii="宋体" w:hAnsi="宋体" w:eastAsia="宋体" w:cs="Times New Roman"/>
                <w:b/>
                <w:bCs/>
                <w:kern w:val="0"/>
                <w:szCs w:val="21"/>
              </w:rPr>
              <w:t>学习领域课程</w:t>
            </w:r>
          </w:p>
        </w:tc>
      </w:tr>
      <w:tr w14:paraId="20017B95">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915" w:hRule="atLeast"/>
          <w:tblCellSpacing w:w="0" w:type="dxa"/>
          <w:jc w:val="center"/>
        </w:trPr>
        <w:tc>
          <w:tcPr>
            <w:tcW w:w="674" w:type="dxa"/>
            <w:tcBorders>
              <w:top w:val="outset" w:color="95BB9F" w:sz="6" w:space="0"/>
              <w:left w:val="outset" w:color="95BB9F" w:sz="6" w:space="0"/>
              <w:right w:val="outset" w:color="95BB9F" w:sz="6" w:space="0"/>
            </w:tcBorders>
            <w:shd w:val="clear" w:color="auto" w:fill="auto"/>
            <w:vAlign w:val="center"/>
          </w:tcPr>
          <w:p w14:paraId="37CF0627">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w:t>
            </w:r>
          </w:p>
          <w:p w14:paraId="238A7F52">
            <w:pPr>
              <w:keepNext w:val="0"/>
              <w:keepLines w:val="0"/>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p>
        </w:tc>
        <w:tc>
          <w:tcPr>
            <w:tcW w:w="1701" w:type="dxa"/>
            <w:tcBorders>
              <w:top w:val="outset" w:color="95BB9F" w:sz="6" w:space="0"/>
              <w:left w:val="outset" w:color="95BB9F" w:sz="6" w:space="0"/>
              <w:bottom w:val="outset" w:color="95BB9F" w:sz="6" w:space="0"/>
              <w:right w:val="outset" w:color="95BB9F" w:sz="6" w:space="0"/>
            </w:tcBorders>
            <w:shd w:val="clear" w:color="auto" w:fill="auto"/>
            <w:vAlign w:val="center"/>
          </w:tcPr>
          <w:p w14:paraId="74205D66">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多媒体课室</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6042F56E">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20间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73885EBD">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常规教学</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3E36EF42">
            <w:pPr>
              <w:keepNext w:val="0"/>
              <w:keepLines w:val="0"/>
              <w:widowControl/>
              <w:suppressLineNumbers w:val="0"/>
              <w:spacing w:before="100" w:beforeAutospacing="1" w:after="100" w:afterAutospacing="1" w:line="300" w:lineRule="exact"/>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专业技术平台课程、专业技术方向课程、创新创业特色课程</w:t>
            </w:r>
          </w:p>
        </w:tc>
      </w:tr>
      <w:tr w14:paraId="28CD2AFA">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shd w:val="clear" w:color="auto" w:fill="auto"/>
            <w:vAlign w:val="center"/>
          </w:tcPr>
          <w:p w14:paraId="0261B9F8">
            <w:pPr>
              <w:keepNext w:val="0"/>
              <w:keepLines w:val="0"/>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2</w:t>
            </w:r>
          </w:p>
        </w:tc>
        <w:tc>
          <w:tcPr>
            <w:tcW w:w="1701" w:type="dxa"/>
            <w:tcBorders>
              <w:top w:val="outset" w:color="95BB9F" w:sz="6" w:space="0"/>
              <w:left w:val="outset" w:color="95BB9F" w:sz="6" w:space="0"/>
              <w:bottom w:val="outset" w:color="95BB9F" w:sz="6" w:space="0"/>
              <w:right w:val="outset" w:color="95BB9F" w:sz="6" w:space="0"/>
            </w:tcBorders>
            <w:shd w:val="clear" w:color="auto" w:fill="auto"/>
            <w:vAlign w:val="center"/>
          </w:tcPr>
          <w:p w14:paraId="3C844C70">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语言实训室</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0E94BEA5">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3间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75877A0E">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外语基本技能训练，容纳180学生</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3F1DD2F3">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sz w:val="18"/>
                <w:szCs w:val="18"/>
              </w:rPr>
              <w:t>英语听力</w:t>
            </w:r>
          </w:p>
          <w:p w14:paraId="00E60D96">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sz w:val="18"/>
                <w:szCs w:val="18"/>
              </w:rPr>
              <w:t>商务英语视听说</w:t>
            </w:r>
          </w:p>
        </w:tc>
      </w:tr>
      <w:tr w14:paraId="669254A0">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shd w:val="clear" w:color="auto" w:fill="auto"/>
            <w:vAlign w:val="center"/>
          </w:tcPr>
          <w:p w14:paraId="6E43A442">
            <w:pPr>
              <w:keepNext w:val="0"/>
              <w:keepLines w:val="0"/>
              <w:widowControl/>
              <w:suppressLineNumbers w:val="0"/>
              <w:spacing w:before="0" w:beforeAutospacing="0" w:after="0" w:afterAutospacing="0"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3</w:t>
            </w:r>
          </w:p>
        </w:tc>
        <w:tc>
          <w:tcPr>
            <w:tcW w:w="1701" w:type="dxa"/>
            <w:tcBorders>
              <w:top w:val="single" w:color="auto" w:sz="4" w:space="0"/>
              <w:left w:val="outset" w:color="95BB9F" w:sz="6" w:space="0"/>
              <w:bottom w:val="outset" w:color="95BB9F" w:sz="6" w:space="0"/>
              <w:right w:val="outset" w:color="95BB9F" w:sz="6" w:space="0"/>
            </w:tcBorders>
            <w:shd w:val="clear" w:color="auto" w:fill="auto"/>
            <w:vAlign w:val="center"/>
          </w:tcPr>
          <w:p w14:paraId="580DD956">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口语实训室</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6CB9BD56">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3间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56E49A34">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外语口语训练，容纳200学生</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454458A5">
            <w:pPr>
              <w:keepNext w:val="0"/>
              <w:keepLines w:val="0"/>
              <w:suppressLineNumbers w:val="0"/>
              <w:spacing w:before="0" w:beforeAutospacing="0" w:after="0" w:afterAutospacing="0"/>
              <w:ind w:left="0" w:right="0"/>
              <w:jc w:val="left"/>
              <w:rPr>
                <w:rFonts w:hint="default" w:ascii="宋体" w:hAnsi="宋体"/>
                <w:sz w:val="18"/>
                <w:szCs w:val="18"/>
              </w:rPr>
            </w:pPr>
            <w:r>
              <w:rPr>
                <w:rFonts w:hint="eastAsia" w:ascii="宋体" w:hAnsi="宋体"/>
                <w:sz w:val="18"/>
                <w:szCs w:val="18"/>
              </w:rPr>
              <w:t>英语听力</w:t>
            </w:r>
          </w:p>
          <w:p w14:paraId="35A786E7">
            <w:pPr>
              <w:keepNext w:val="0"/>
              <w:keepLines w:val="0"/>
              <w:suppressLineNumbers w:val="0"/>
              <w:spacing w:before="0" w:beforeAutospacing="0" w:after="0" w:afterAutospacing="0"/>
              <w:ind w:left="0" w:right="0"/>
              <w:jc w:val="left"/>
              <w:rPr>
                <w:rFonts w:hint="default" w:ascii="宋体" w:hAnsi="宋体" w:eastAsia="宋体" w:cs="Times New Roman"/>
                <w:kern w:val="0"/>
                <w:sz w:val="18"/>
                <w:szCs w:val="18"/>
              </w:rPr>
            </w:pPr>
            <w:r>
              <w:rPr>
                <w:rFonts w:hint="eastAsia" w:ascii="宋体" w:hAnsi="宋体"/>
                <w:sz w:val="18"/>
                <w:szCs w:val="18"/>
              </w:rPr>
              <w:t>商务英语视听说</w:t>
            </w:r>
          </w:p>
        </w:tc>
      </w:tr>
      <w:tr w14:paraId="60E0214C">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shd w:val="clear" w:color="auto" w:fill="auto"/>
            <w:vAlign w:val="center"/>
          </w:tcPr>
          <w:p w14:paraId="4E0480F0">
            <w:pPr>
              <w:keepNext w:val="0"/>
              <w:keepLines w:val="0"/>
              <w:widowControl/>
              <w:suppressLineNumbers w:val="0"/>
              <w:spacing w:before="0" w:beforeAutospacing="0" w:after="0" w:afterAutospacing="0"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4</w:t>
            </w:r>
          </w:p>
        </w:tc>
        <w:tc>
          <w:tcPr>
            <w:tcW w:w="1701" w:type="dxa"/>
            <w:tcBorders>
              <w:top w:val="outset" w:color="95BB9F" w:sz="6" w:space="0"/>
              <w:left w:val="single" w:color="auto" w:sz="4" w:space="0"/>
              <w:bottom w:val="outset" w:color="95BB9F" w:sz="6" w:space="0"/>
              <w:right w:val="outset" w:color="95BB9F" w:sz="6" w:space="0"/>
            </w:tcBorders>
            <w:shd w:val="clear" w:color="auto" w:fill="auto"/>
            <w:vAlign w:val="center"/>
          </w:tcPr>
          <w:p w14:paraId="2FF03E9F">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文华商务英语实训室</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422069F8">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0C71B05E">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商务英语基本技能训练，容纳60学生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00A81124">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sz w:val="18"/>
                <w:szCs w:val="18"/>
              </w:rPr>
              <w:t>商务综合实训</w:t>
            </w:r>
          </w:p>
        </w:tc>
      </w:tr>
      <w:tr w14:paraId="183DAC7D">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shd w:val="clear" w:color="auto" w:fill="auto"/>
            <w:vAlign w:val="center"/>
          </w:tcPr>
          <w:p w14:paraId="400F6977">
            <w:pPr>
              <w:keepNext w:val="0"/>
              <w:keepLines w:val="0"/>
              <w:widowControl/>
              <w:suppressLineNumbers w:val="0"/>
              <w:spacing w:before="0" w:beforeAutospacing="0" w:after="0" w:afterAutospacing="0"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5</w:t>
            </w:r>
          </w:p>
        </w:tc>
        <w:tc>
          <w:tcPr>
            <w:tcW w:w="1701" w:type="dxa"/>
            <w:tcBorders>
              <w:top w:val="outset" w:color="95BB9F" w:sz="6" w:space="0"/>
              <w:left w:val="outset" w:color="95BB9F" w:sz="6" w:space="0"/>
              <w:bottom w:val="outset" w:color="95BB9F" w:sz="6" w:space="0"/>
              <w:right w:val="outset" w:color="95BB9F" w:sz="6" w:space="0"/>
            </w:tcBorders>
            <w:shd w:val="clear" w:color="auto" w:fill="auto"/>
            <w:vAlign w:val="center"/>
          </w:tcPr>
          <w:p w14:paraId="48A20EB0">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语言自主学习中心</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19D09150">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3E389ED5">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外语自主学习；配备先进的训练软件，容纳80学生</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7CEDB12F">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综合英语、第二课堂</w:t>
            </w:r>
          </w:p>
        </w:tc>
      </w:tr>
      <w:tr w14:paraId="2F0E7C81">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shd w:val="clear" w:color="auto" w:fill="auto"/>
            <w:vAlign w:val="center"/>
          </w:tcPr>
          <w:p w14:paraId="43704AE9">
            <w:pPr>
              <w:keepNext w:val="0"/>
              <w:keepLines w:val="0"/>
              <w:widowControl/>
              <w:suppressLineNumbers w:val="0"/>
              <w:spacing w:before="0" w:beforeAutospacing="0" w:after="0" w:afterAutospacing="0"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6</w:t>
            </w:r>
          </w:p>
        </w:tc>
        <w:tc>
          <w:tcPr>
            <w:tcW w:w="1701" w:type="dxa"/>
            <w:tcBorders>
              <w:top w:val="outset" w:color="95BB9F" w:sz="6" w:space="0"/>
              <w:left w:val="outset" w:color="95BB9F" w:sz="6" w:space="0"/>
              <w:bottom w:val="outset" w:color="95BB9F" w:sz="6" w:space="0"/>
              <w:right w:val="outset" w:color="95BB9F" w:sz="6" w:space="0"/>
            </w:tcBorders>
            <w:shd w:val="clear" w:color="auto" w:fill="auto"/>
            <w:vAlign w:val="center"/>
          </w:tcPr>
          <w:p w14:paraId="436D11F5">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同声传译实训室</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6D8D36B2">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548CAFA7">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翻译教学实训，容纳60学生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385E0A25">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商务英语翻译</w:t>
            </w:r>
          </w:p>
        </w:tc>
      </w:tr>
      <w:tr w14:paraId="1D55C1B8">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right w:val="outset" w:color="95BB9F" w:sz="6" w:space="0"/>
            </w:tcBorders>
            <w:shd w:val="clear" w:color="auto" w:fill="auto"/>
            <w:vAlign w:val="center"/>
          </w:tcPr>
          <w:p w14:paraId="1130C505">
            <w:pPr>
              <w:keepNext w:val="0"/>
              <w:keepLines w:val="0"/>
              <w:widowControl/>
              <w:suppressLineNumbers w:val="0"/>
              <w:spacing w:before="0" w:beforeAutospacing="0" w:after="0" w:afterAutospacing="0"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7</w:t>
            </w:r>
          </w:p>
        </w:tc>
        <w:tc>
          <w:tcPr>
            <w:tcW w:w="1701" w:type="dxa"/>
            <w:tcBorders>
              <w:top w:val="outset" w:color="95BB9F" w:sz="6" w:space="0"/>
              <w:left w:val="outset" w:color="95BB9F" w:sz="6" w:space="0"/>
              <w:bottom w:val="outset" w:color="95BB9F" w:sz="6" w:space="0"/>
              <w:right w:val="outset" w:color="95BB9F" w:sz="6" w:space="0"/>
            </w:tcBorders>
            <w:shd w:val="clear" w:color="auto" w:fill="auto"/>
            <w:vAlign w:val="center"/>
          </w:tcPr>
          <w:p w14:paraId="2D35B9CD">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工贸翻译室</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3EF4D9CB">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0385BB87">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商务翻译训练与业务，容纳60学生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77DC103C">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商务英语翻译</w:t>
            </w:r>
          </w:p>
        </w:tc>
      </w:tr>
      <w:tr w14:paraId="4E114D03">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bottom w:val="single" w:color="auto" w:sz="4" w:space="0"/>
              <w:right w:val="outset" w:color="95BB9F" w:sz="6" w:space="0"/>
            </w:tcBorders>
            <w:shd w:val="clear" w:color="auto" w:fill="auto"/>
            <w:vAlign w:val="center"/>
          </w:tcPr>
          <w:p w14:paraId="036E4F8B">
            <w:pPr>
              <w:keepNext w:val="0"/>
              <w:keepLines w:val="0"/>
              <w:widowControl/>
              <w:suppressLineNumbers w:val="0"/>
              <w:spacing w:before="0" w:beforeAutospacing="0" w:after="0" w:afterAutospacing="0"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8</w:t>
            </w:r>
          </w:p>
        </w:tc>
        <w:tc>
          <w:tcPr>
            <w:tcW w:w="1701" w:type="dxa"/>
            <w:tcBorders>
              <w:top w:val="single" w:color="auto" w:sz="4" w:space="0"/>
              <w:left w:val="outset" w:color="95BB9F" w:sz="6" w:space="0"/>
              <w:bottom w:val="single" w:color="auto" w:sz="4" w:space="0"/>
              <w:right w:val="outset" w:color="95BB9F" w:sz="6" w:space="0"/>
            </w:tcBorders>
            <w:shd w:val="clear" w:color="auto" w:fill="auto"/>
            <w:vAlign w:val="center"/>
          </w:tcPr>
          <w:p w14:paraId="21F88526">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英语沙龙</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40D9887E">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2C8C1E9D">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开放式英语俱乐部，容纳60学生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541BDFE8">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自主学习、第二课堂</w:t>
            </w:r>
          </w:p>
        </w:tc>
      </w:tr>
      <w:tr w14:paraId="44D841C0">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left w:val="outset" w:color="95BB9F" w:sz="6" w:space="0"/>
              <w:bottom w:val="nil"/>
              <w:right w:val="outset" w:color="95BB9F" w:sz="6" w:space="0"/>
            </w:tcBorders>
            <w:shd w:val="clear" w:color="auto" w:fill="auto"/>
            <w:vAlign w:val="center"/>
          </w:tcPr>
          <w:p w14:paraId="37A2EF1D">
            <w:pPr>
              <w:keepNext w:val="0"/>
              <w:keepLines w:val="0"/>
              <w:widowControl/>
              <w:suppressLineNumbers w:val="0"/>
              <w:spacing w:before="0" w:beforeAutospacing="0" w:after="0" w:afterAutospacing="0"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9</w:t>
            </w:r>
          </w:p>
        </w:tc>
        <w:tc>
          <w:tcPr>
            <w:tcW w:w="1701" w:type="dxa"/>
            <w:tcBorders>
              <w:top w:val="outset" w:color="95BB9F" w:sz="6" w:space="0"/>
              <w:left w:val="outset" w:color="95BB9F" w:sz="6" w:space="0"/>
              <w:bottom w:val="outset" w:color="95BB9F" w:sz="6" w:space="0"/>
              <w:right w:val="outset" w:color="95BB9F" w:sz="6" w:space="0"/>
            </w:tcBorders>
            <w:shd w:val="clear" w:color="auto" w:fill="auto"/>
            <w:vAlign w:val="center"/>
          </w:tcPr>
          <w:p w14:paraId="45244B20">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商务英语实训室</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26D4492A">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2A8C90F8">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英语语言技能训练，容纳60学生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4D2E3B67">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商务英语视听说、</w:t>
            </w:r>
            <w:r>
              <w:rPr>
                <w:rFonts w:hint="eastAsia" w:ascii="宋体" w:hAnsi="宋体"/>
                <w:sz w:val="18"/>
                <w:szCs w:val="18"/>
              </w:rPr>
              <w:t>商务</w:t>
            </w:r>
            <w:r>
              <w:rPr>
                <w:rFonts w:hint="eastAsia" w:ascii="宋体" w:hAnsi="宋体" w:eastAsia="宋体" w:cs="Times New Roman"/>
                <w:kern w:val="0"/>
                <w:sz w:val="18"/>
                <w:szCs w:val="18"/>
              </w:rPr>
              <w:t>英语</w:t>
            </w:r>
            <w:r>
              <w:rPr>
                <w:rFonts w:hint="eastAsia" w:ascii="宋体" w:hAnsi="宋体"/>
                <w:sz w:val="18"/>
                <w:szCs w:val="18"/>
              </w:rPr>
              <w:t>综合实训</w:t>
            </w:r>
          </w:p>
        </w:tc>
      </w:tr>
      <w:tr w14:paraId="4407E791">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bottom w:val="single" w:color="auto" w:sz="4" w:space="0"/>
              <w:right w:val="outset" w:color="95BB9F" w:sz="6" w:space="0"/>
            </w:tcBorders>
            <w:shd w:val="clear" w:color="auto" w:fill="auto"/>
            <w:vAlign w:val="center"/>
          </w:tcPr>
          <w:p w14:paraId="4431018A">
            <w:pPr>
              <w:keepNext w:val="0"/>
              <w:keepLines w:val="0"/>
              <w:widowControl/>
              <w:suppressLineNumbers w:val="0"/>
              <w:spacing w:before="0" w:beforeAutospacing="0" w:after="0" w:afterAutospacing="0"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10</w:t>
            </w:r>
          </w:p>
        </w:tc>
        <w:tc>
          <w:tcPr>
            <w:tcW w:w="1701" w:type="dxa"/>
            <w:tcBorders>
              <w:top w:val="single" w:color="auto" w:sz="4" w:space="0"/>
              <w:left w:val="outset" w:color="95BB9F" w:sz="6" w:space="0"/>
              <w:bottom w:val="single" w:color="auto" w:sz="4" w:space="0"/>
              <w:right w:val="outset" w:color="95BB9F" w:sz="6" w:space="0"/>
            </w:tcBorders>
            <w:shd w:val="clear" w:color="auto" w:fill="auto"/>
            <w:vAlign w:val="center"/>
          </w:tcPr>
          <w:p w14:paraId="1C1E095E">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商务服务外包实训室</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7EC51F4B">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2182E5F5">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国际商务服务外包实训，容纳60学生</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2DB2B15F">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跨境电子商务、</w:t>
            </w:r>
            <w:r>
              <w:rPr>
                <w:rFonts w:hint="eastAsia" w:ascii="宋体" w:hAnsi="宋体"/>
                <w:sz w:val="18"/>
                <w:szCs w:val="18"/>
              </w:rPr>
              <w:t>商务</w:t>
            </w:r>
            <w:r>
              <w:rPr>
                <w:rFonts w:hint="eastAsia" w:ascii="宋体" w:hAnsi="宋体" w:eastAsia="宋体" w:cs="Times New Roman"/>
                <w:kern w:val="0"/>
                <w:sz w:val="18"/>
                <w:szCs w:val="18"/>
              </w:rPr>
              <w:t>英语</w:t>
            </w:r>
            <w:r>
              <w:rPr>
                <w:rFonts w:hint="eastAsia" w:ascii="宋体" w:hAnsi="宋体"/>
                <w:sz w:val="18"/>
                <w:szCs w:val="18"/>
              </w:rPr>
              <w:t>综合实训、</w:t>
            </w:r>
            <w:r>
              <w:rPr>
                <w:rFonts w:hint="eastAsia" w:ascii="宋体" w:hAnsi="宋体" w:eastAsia="宋体" w:cs="宋体"/>
                <w:kern w:val="0"/>
                <w:sz w:val="18"/>
                <w:szCs w:val="18"/>
              </w:rPr>
              <w:t>创新创业特色课程</w:t>
            </w:r>
          </w:p>
        </w:tc>
      </w:tr>
      <w:tr w14:paraId="1C5260E7">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bottom w:val="single" w:color="auto" w:sz="4" w:space="0"/>
              <w:right w:val="outset" w:color="95BB9F" w:sz="6" w:space="0"/>
            </w:tcBorders>
            <w:shd w:val="clear" w:color="auto" w:fill="auto"/>
            <w:vAlign w:val="center"/>
          </w:tcPr>
          <w:p w14:paraId="15F616BB">
            <w:pPr>
              <w:keepNext w:val="0"/>
              <w:keepLines w:val="0"/>
              <w:widowControl/>
              <w:suppressLineNumbers w:val="0"/>
              <w:spacing w:before="0" w:beforeAutospacing="0" w:after="0" w:afterAutospacing="0"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11</w:t>
            </w:r>
          </w:p>
        </w:tc>
        <w:tc>
          <w:tcPr>
            <w:tcW w:w="1701" w:type="dxa"/>
            <w:tcBorders>
              <w:top w:val="single" w:color="auto" w:sz="4" w:space="0"/>
              <w:left w:val="outset" w:color="95BB9F" w:sz="6" w:space="0"/>
              <w:bottom w:val="single" w:color="auto" w:sz="4" w:space="0"/>
              <w:right w:val="outset" w:color="95BB9F" w:sz="6" w:space="0"/>
            </w:tcBorders>
            <w:shd w:val="clear" w:color="auto" w:fill="auto"/>
            <w:vAlign w:val="center"/>
          </w:tcPr>
          <w:p w14:paraId="0AA4CC9E">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商务英语智能翻译培训中心</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04376A2F">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7C28519F">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商务英语基本技能训练、跨境电商技能实训，容纳120人</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758E502D">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跨境电子商务、</w:t>
            </w:r>
            <w:r>
              <w:rPr>
                <w:rFonts w:hint="eastAsia" w:ascii="宋体" w:hAnsi="宋体"/>
                <w:sz w:val="18"/>
                <w:szCs w:val="18"/>
              </w:rPr>
              <w:t>商务</w:t>
            </w:r>
            <w:r>
              <w:rPr>
                <w:rFonts w:hint="eastAsia" w:ascii="宋体" w:hAnsi="宋体" w:eastAsia="宋体" w:cs="Times New Roman"/>
                <w:kern w:val="0"/>
                <w:sz w:val="18"/>
                <w:szCs w:val="18"/>
              </w:rPr>
              <w:t>英语</w:t>
            </w:r>
            <w:r>
              <w:rPr>
                <w:rFonts w:hint="eastAsia" w:ascii="宋体" w:hAnsi="宋体"/>
                <w:sz w:val="18"/>
                <w:szCs w:val="18"/>
              </w:rPr>
              <w:t>综合实训、</w:t>
            </w:r>
            <w:r>
              <w:rPr>
                <w:rFonts w:hint="eastAsia" w:ascii="宋体" w:hAnsi="宋体" w:eastAsia="宋体" w:cs="宋体"/>
                <w:kern w:val="0"/>
                <w:sz w:val="18"/>
                <w:szCs w:val="18"/>
              </w:rPr>
              <w:t>创新创业特色课程</w:t>
            </w:r>
          </w:p>
        </w:tc>
      </w:tr>
      <w:tr w14:paraId="72A82A31">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bottom w:val="single" w:color="auto" w:sz="4" w:space="0"/>
              <w:right w:val="outset" w:color="95BB9F" w:sz="6" w:space="0"/>
            </w:tcBorders>
            <w:shd w:val="clear" w:color="auto" w:fill="auto"/>
            <w:vAlign w:val="center"/>
          </w:tcPr>
          <w:p w14:paraId="34F5AEC9">
            <w:pPr>
              <w:keepNext w:val="0"/>
              <w:keepLines w:val="0"/>
              <w:widowControl/>
              <w:suppressLineNumbers w:val="0"/>
              <w:spacing w:before="0" w:beforeAutospacing="0" w:after="0" w:afterAutospacing="0"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12</w:t>
            </w:r>
          </w:p>
        </w:tc>
        <w:tc>
          <w:tcPr>
            <w:tcW w:w="1701" w:type="dxa"/>
            <w:tcBorders>
              <w:top w:val="single" w:color="auto" w:sz="4" w:space="0"/>
              <w:left w:val="outset" w:color="95BB9F" w:sz="6" w:space="0"/>
              <w:bottom w:val="single" w:color="auto" w:sz="4" w:space="0"/>
              <w:right w:val="outset" w:color="95BB9F" w:sz="6" w:space="0"/>
            </w:tcBorders>
            <w:shd w:val="clear" w:color="auto" w:fill="auto"/>
            <w:vAlign w:val="center"/>
          </w:tcPr>
          <w:p w14:paraId="00C686C7">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国际商务英语综合实训室</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36097777">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19D8BEFD">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商务英语综合技能训练、跨境电商技能实训，容纳120人</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7D26B914">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跨境电子商务、</w:t>
            </w:r>
            <w:r>
              <w:rPr>
                <w:rFonts w:hint="eastAsia" w:ascii="宋体" w:hAnsi="宋体"/>
                <w:sz w:val="18"/>
                <w:szCs w:val="18"/>
              </w:rPr>
              <w:t>商务</w:t>
            </w:r>
            <w:r>
              <w:rPr>
                <w:rFonts w:hint="eastAsia" w:ascii="宋体" w:hAnsi="宋体" w:eastAsia="宋体" w:cs="Times New Roman"/>
                <w:kern w:val="0"/>
                <w:sz w:val="18"/>
                <w:szCs w:val="18"/>
              </w:rPr>
              <w:t>英语</w:t>
            </w:r>
            <w:r>
              <w:rPr>
                <w:rFonts w:hint="eastAsia" w:ascii="宋体" w:hAnsi="宋体"/>
                <w:sz w:val="18"/>
                <w:szCs w:val="18"/>
              </w:rPr>
              <w:t>综合实训、</w:t>
            </w:r>
            <w:r>
              <w:rPr>
                <w:rFonts w:hint="eastAsia" w:ascii="宋体" w:hAnsi="宋体" w:eastAsia="宋体" w:cs="宋体"/>
                <w:kern w:val="0"/>
                <w:sz w:val="18"/>
                <w:szCs w:val="18"/>
              </w:rPr>
              <w:t>创新创业特色课程</w:t>
            </w:r>
          </w:p>
        </w:tc>
      </w:tr>
      <w:tr w14:paraId="38EAFE05">
        <w:tblPrEx>
          <w:tblBorders>
            <w:top w:val="outset" w:color="95BB9F" w:sz="6" w:space="0"/>
            <w:left w:val="outset" w:color="95BB9F" w:sz="6" w:space="0"/>
            <w:bottom w:val="outset" w:color="95BB9F" w:sz="6" w:space="0"/>
            <w:right w:val="outset" w:color="95BB9F" w:sz="6" w:space="0"/>
            <w:insideH w:val="none" w:color="auto" w:sz="0" w:space="0"/>
            <w:insideV w:val="none" w:color="auto" w:sz="0" w:space="0"/>
          </w:tblBorders>
          <w:tblCellMar>
            <w:top w:w="0" w:type="dxa"/>
            <w:left w:w="0" w:type="dxa"/>
            <w:bottom w:w="0" w:type="dxa"/>
            <w:right w:w="0" w:type="dxa"/>
          </w:tblCellMar>
        </w:tblPrEx>
        <w:trPr>
          <w:trHeight w:val="318" w:hRule="atLeast"/>
          <w:tblCellSpacing w:w="0" w:type="dxa"/>
          <w:jc w:val="center"/>
        </w:trPr>
        <w:tc>
          <w:tcPr>
            <w:tcW w:w="674" w:type="dxa"/>
            <w:tcBorders>
              <w:top w:val="single" w:color="auto" w:sz="4" w:space="0"/>
              <w:left w:val="outset" w:color="95BB9F" w:sz="6" w:space="0"/>
              <w:bottom w:val="nil"/>
              <w:right w:val="outset" w:color="95BB9F" w:sz="6" w:space="0"/>
            </w:tcBorders>
            <w:shd w:val="clear" w:color="auto" w:fill="auto"/>
            <w:vAlign w:val="center"/>
          </w:tcPr>
          <w:p w14:paraId="0FD283C7">
            <w:pPr>
              <w:keepNext w:val="0"/>
              <w:keepLines w:val="0"/>
              <w:widowControl/>
              <w:suppressLineNumbers w:val="0"/>
              <w:spacing w:before="0" w:beforeAutospacing="0" w:after="0" w:afterAutospacing="0"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13</w:t>
            </w:r>
          </w:p>
        </w:tc>
        <w:tc>
          <w:tcPr>
            <w:tcW w:w="1701" w:type="dxa"/>
            <w:tcBorders>
              <w:top w:val="single" w:color="auto" w:sz="4" w:space="0"/>
              <w:left w:val="outset" w:color="95BB9F" w:sz="6" w:space="0"/>
              <w:bottom w:val="outset" w:color="95BB9F" w:sz="6" w:space="0"/>
              <w:right w:val="outset" w:color="95BB9F" w:sz="6" w:space="0"/>
            </w:tcBorders>
            <w:shd w:val="clear" w:color="auto" w:fill="auto"/>
            <w:vAlign w:val="center"/>
          </w:tcPr>
          <w:p w14:paraId="1B6B9361">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中文文化虚拟情境实训中心</w:t>
            </w:r>
          </w:p>
        </w:tc>
        <w:tc>
          <w:tcPr>
            <w:tcW w:w="567" w:type="dxa"/>
            <w:tcBorders>
              <w:top w:val="outset" w:color="95BB9F" w:sz="6" w:space="0"/>
              <w:left w:val="outset" w:color="95BB9F" w:sz="6" w:space="0"/>
              <w:bottom w:val="outset" w:color="95BB9F" w:sz="6" w:space="0"/>
              <w:right w:val="outset" w:color="95BB9F" w:sz="6" w:space="0"/>
            </w:tcBorders>
            <w:shd w:val="clear" w:color="auto" w:fill="auto"/>
            <w:vAlign w:val="center"/>
          </w:tcPr>
          <w:p w14:paraId="125B59BA">
            <w:pPr>
              <w:keepNext w:val="0"/>
              <w:keepLines w:val="0"/>
              <w:widowControl/>
              <w:suppressLineNumbers w:val="0"/>
              <w:spacing w:before="100" w:beforeAutospacing="1" w:after="100" w:afterAutospacing="1" w:line="300" w:lineRule="auto"/>
              <w:ind w:left="0" w:right="0"/>
              <w:jc w:val="center"/>
              <w:rPr>
                <w:rFonts w:hint="default" w:ascii="宋体" w:hAnsi="宋体" w:eastAsia="宋体" w:cs="Times New Roman"/>
                <w:kern w:val="0"/>
                <w:sz w:val="18"/>
                <w:szCs w:val="18"/>
              </w:rPr>
            </w:pPr>
            <w:r>
              <w:rPr>
                <w:rFonts w:hint="eastAsia" w:ascii="宋体" w:hAnsi="宋体" w:eastAsia="宋体" w:cs="Times New Roman"/>
                <w:kern w:val="0"/>
                <w:sz w:val="18"/>
                <w:szCs w:val="18"/>
              </w:rPr>
              <w:t>1间</w:t>
            </w:r>
          </w:p>
        </w:tc>
        <w:tc>
          <w:tcPr>
            <w:tcW w:w="3544" w:type="dxa"/>
            <w:tcBorders>
              <w:top w:val="outset" w:color="95BB9F" w:sz="6" w:space="0"/>
              <w:left w:val="outset" w:color="95BB9F" w:sz="6" w:space="0"/>
              <w:bottom w:val="outset" w:color="95BB9F" w:sz="6" w:space="0"/>
              <w:right w:val="outset" w:color="95BB9F" w:sz="6" w:space="0"/>
            </w:tcBorders>
            <w:shd w:val="clear" w:color="auto" w:fill="auto"/>
            <w:vAlign w:val="center"/>
          </w:tcPr>
          <w:p w14:paraId="145C8DD5">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开展商务沟通与谈判虚拟仿真实训、商务情景英语口语虚拟仿真实训、商务英语综合技能训练、跨境电商技能实训等，容纳120人</w:t>
            </w:r>
          </w:p>
        </w:tc>
        <w:tc>
          <w:tcPr>
            <w:tcW w:w="2019" w:type="dxa"/>
            <w:tcBorders>
              <w:top w:val="outset" w:color="95BB9F" w:sz="6" w:space="0"/>
              <w:left w:val="outset" w:color="95BB9F" w:sz="6" w:space="0"/>
              <w:bottom w:val="outset" w:color="95BB9F" w:sz="6" w:space="0"/>
              <w:right w:val="outset" w:color="95BB9F" w:sz="6" w:space="0"/>
            </w:tcBorders>
            <w:shd w:val="clear" w:color="auto" w:fill="auto"/>
            <w:vAlign w:val="center"/>
          </w:tcPr>
          <w:p w14:paraId="73DA921C">
            <w:pPr>
              <w:keepNext w:val="0"/>
              <w:keepLines w:val="0"/>
              <w:widowControl/>
              <w:suppressLineNumbers w:val="0"/>
              <w:spacing w:before="100" w:beforeAutospacing="1" w:after="100" w:afterAutospacing="1" w:line="300" w:lineRule="auto"/>
              <w:ind w:left="0" w:right="0"/>
              <w:jc w:val="left"/>
              <w:rPr>
                <w:rFonts w:hint="default" w:ascii="宋体" w:hAnsi="宋体" w:eastAsia="宋体" w:cs="Times New Roman"/>
                <w:kern w:val="0"/>
                <w:sz w:val="18"/>
                <w:szCs w:val="18"/>
              </w:rPr>
            </w:pPr>
            <w:r>
              <w:rPr>
                <w:rFonts w:hint="eastAsia" w:ascii="宋体" w:hAnsi="宋体" w:eastAsia="宋体" w:cs="Times New Roman"/>
                <w:kern w:val="0"/>
                <w:sz w:val="18"/>
                <w:szCs w:val="18"/>
              </w:rPr>
              <w:t>商务沟通与谈判、商务英语视听说、商务英语等</w:t>
            </w:r>
          </w:p>
        </w:tc>
      </w:tr>
    </w:tbl>
    <w:p w14:paraId="3C68D38F">
      <w:pPr>
        <w:overflowPunct w:val="0"/>
        <w:spacing w:line="440" w:lineRule="exact"/>
        <w:rPr>
          <w:rFonts w:asciiTheme="minorEastAsia" w:hAnsiTheme="minorEastAsia"/>
          <w:szCs w:val="21"/>
        </w:rPr>
      </w:pPr>
    </w:p>
    <w:p w14:paraId="4F87A182">
      <w:pPr>
        <w:keepNext/>
        <w:keepLines/>
        <w:snapToGrid w:val="0"/>
        <w:spacing w:before="100" w:beforeAutospacing="1" w:after="100" w:afterAutospacing="1"/>
        <w:ind w:left="420" w:leftChars="200"/>
        <w:outlineLvl w:val="1"/>
        <w:rPr>
          <w:rFonts w:hint="eastAsia" w:eastAsia="楷体" w:asciiTheme="majorHAnsi" w:hAnsiTheme="majorHAnsi" w:cstheme="majorBidi"/>
          <w:bCs/>
          <w:sz w:val="28"/>
          <w:szCs w:val="32"/>
        </w:rPr>
      </w:pPr>
      <w:bookmarkStart w:id="25" w:name="_Toc89793287"/>
      <w:r>
        <w:rPr>
          <w:rFonts w:hint="eastAsia" w:eastAsia="楷体" w:asciiTheme="majorHAnsi" w:hAnsiTheme="majorHAnsi" w:cstheme="majorBidi"/>
          <w:bCs/>
          <w:sz w:val="28"/>
          <w:szCs w:val="32"/>
        </w:rPr>
        <w:t>（三）教学资源</w:t>
      </w:r>
      <w:bookmarkEnd w:id="25"/>
    </w:p>
    <w:p w14:paraId="5D682509">
      <w:pPr>
        <w:overflowPunct w:val="0"/>
        <w:spacing w:line="440" w:lineRule="exact"/>
        <w:ind w:firstLine="420" w:firstLineChars="200"/>
        <w:rPr>
          <w:rFonts w:asciiTheme="minorEastAsia" w:hAnsiTheme="minorEastAsia"/>
        </w:rPr>
      </w:pPr>
      <w:r>
        <w:rPr>
          <w:rFonts w:hint="eastAsia" w:asciiTheme="minorEastAsia" w:hAnsiTheme="minorEastAsia"/>
        </w:rPr>
        <w:t>本专业有满足学生专业学习、教师专业教学研究和教学实施需要的教材、图书及数字化资源等。</w:t>
      </w:r>
    </w:p>
    <w:p w14:paraId="6B3B11DA">
      <w:pPr>
        <w:keepNext/>
        <w:keepLines/>
        <w:spacing w:before="234" w:beforeLines="75" w:after="234" w:afterLines="75" w:line="280" w:lineRule="exact"/>
        <w:ind w:left="420" w:leftChars="200"/>
        <w:outlineLvl w:val="2"/>
        <w:rPr>
          <w:rFonts w:hint="eastAsia" w:ascii="仿宋" w:hAnsi="仿宋" w:eastAsia="仿宋"/>
          <w:b/>
          <w:bCs/>
          <w:szCs w:val="32"/>
        </w:rPr>
      </w:pPr>
      <w:r>
        <w:rPr>
          <w:rFonts w:hint="eastAsia" w:ascii="仿宋" w:hAnsi="仿宋" w:eastAsia="仿宋"/>
          <w:b/>
          <w:bCs/>
          <w:szCs w:val="32"/>
        </w:rPr>
        <w:t>1.教材选用</w:t>
      </w:r>
    </w:p>
    <w:p w14:paraId="4D3EDA1D">
      <w:pPr>
        <w:overflowPunct w:val="0"/>
        <w:spacing w:line="440" w:lineRule="exact"/>
        <w:ind w:firstLine="420" w:firstLineChars="200"/>
        <w:rPr>
          <w:rFonts w:asciiTheme="minorEastAsia" w:hAnsiTheme="minorEastAsia"/>
        </w:rPr>
      </w:pPr>
      <w:r>
        <w:rPr>
          <w:rFonts w:hint="eastAsia" w:asciiTheme="minorEastAsia" w:hAnsiTheme="minorEastAsia"/>
        </w:rPr>
        <w:t>本专业严格按照国家规定，经过规范程序选用教材，专业课程教材能充分体现本行业新业态、新技术、新规范、新标准。</w:t>
      </w:r>
    </w:p>
    <w:p w14:paraId="5422FF91">
      <w:pPr>
        <w:keepNext/>
        <w:keepLines/>
        <w:spacing w:before="234" w:beforeLines="75" w:after="234" w:afterLines="75" w:line="280" w:lineRule="exact"/>
        <w:ind w:left="420" w:leftChars="200"/>
        <w:outlineLvl w:val="2"/>
        <w:rPr>
          <w:rFonts w:hint="eastAsia" w:ascii="仿宋" w:hAnsi="仿宋" w:eastAsia="仿宋"/>
          <w:b/>
          <w:bCs/>
          <w:szCs w:val="32"/>
        </w:rPr>
      </w:pPr>
      <w:r>
        <w:rPr>
          <w:rFonts w:hint="eastAsia" w:ascii="仿宋" w:hAnsi="仿宋" w:eastAsia="仿宋"/>
          <w:b/>
          <w:bCs/>
          <w:szCs w:val="32"/>
        </w:rPr>
        <w:t>2.图书文献配备</w:t>
      </w:r>
    </w:p>
    <w:p w14:paraId="08365A68">
      <w:pPr>
        <w:overflowPunct w:val="0"/>
        <w:spacing w:line="440" w:lineRule="exact"/>
        <w:ind w:firstLine="420" w:firstLineChars="200"/>
        <w:rPr>
          <w:rFonts w:asciiTheme="minorEastAsia" w:hAnsiTheme="minorEastAsia"/>
        </w:rPr>
      </w:pPr>
      <w:r>
        <w:rPr>
          <w:rFonts w:hint="eastAsia" w:asciiTheme="minorEastAsia" w:hAnsiTheme="minorEastAsia"/>
        </w:rPr>
        <w:t>图书文献配备能满足专业人才培养、专业建设、教科研等工作的需要。专业类图书文献有：外语类、国际经济与贸易类、跨境电子商务类、商务管理类、市场营销类、中西文化类、“一带一路”相关文献类和产品认证类图书和杂志；与本专业相关的国内外法律法规、国际惯例、行业企业技术规范和案例等。还配置有新经济、新技术、新工艺、新管理方式、新服务方式等相关的图书文献。</w:t>
      </w:r>
    </w:p>
    <w:p w14:paraId="02CD9F49">
      <w:pPr>
        <w:keepNext/>
        <w:keepLines/>
        <w:spacing w:before="234" w:beforeLines="75" w:after="234" w:afterLines="75" w:line="280" w:lineRule="exact"/>
        <w:ind w:left="420" w:leftChars="200"/>
        <w:outlineLvl w:val="2"/>
        <w:rPr>
          <w:rFonts w:hint="eastAsia" w:ascii="仿宋" w:hAnsi="仿宋" w:eastAsia="仿宋"/>
          <w:b/>
          <w:bCs/>
          <w:szCs w:val="32"/>
        </w:rPr>
      </w:pPr>
      <w:r>
        <w:rPr>
          <w:rFonts w:hint="eastAsia" w:ascii="仿宋" w:hAnsi="仿宋" w:eastAsia="仿宋"/>
          <w:b/>
          <w:bCs/>
          <w:szCs w:val="32"/>
        </w:rPr>
        <w:t>3.数字教学资源配置</w:t>
      </w:r>
    </w:p>
    <w:p w14:paraId="2AD5B7EE">
      <w:pPr>
        <w:overflowPunct w:val="0"/>
        <w:spacing w:line="440" w:lineRule="exact"/>
        <w:ind w:firstLine="420" w:firstLineChars="200"/>
        <w:rPr>
          <w:rFonts w:asciiTheme="minorEastAsia" w:hAnsiTheme="minorEastAsia"/>
        </w:rPr>
      </w:pPr>
      <w:r>
        <w:rPr>
          <w:rFonts w:hint="eastAsia" w:asciiTheme="minorEastAsia" w:hAnsiTheme="minorEastAsia"/>
        </w:rPr>
        <w:t>本专业参与建设了国家商务英语专业教学资源库，有省级精品在线课程1门，校级数字化课程6门，配备了与本专业有关的音视频素材、教学课件、数字化教学案例库、虚拟仿真软件、数字教材等专业教学资源库，种类丰富、形式多样、使用便捷、动态更新、能满足教学。</w:t>
      </w:r>
    </w:p>
    <w:p w14:paraId="36F27871">
      <w:pPr>
        <w:keepNext/>
        <w:keepLines/>
        <w:snapToGrid w:val="0"/>
        <w:spacing w:before="100" w:beforeAutospacing="1" w:after="100" w:afterAutospacing="1"/>
        <w:ind w:left="420" w:leftChars="200"/>
        <w:outlineLvl w:val="1"/>
        <w:rPr>
          <w:rFonts w:hint="eastAsia" w:eastAsia="楷体" w:asciiTheme="majorHAnsi" w:hAnsiTheme="majorHAnsi" w:cstheme="majorBidi"/>
          <w:bCs/>
          <w:sz w:val="28"/>
          <w:szCs w:val="32"/>
        </w:rPr>
      </w:pPr>
      <w:bookmarkStart w:id="26" w:name="_Toc89793288"/>
      <w:r>
        <w:rPr>
          <w:rFonts w:hint="eastAsia" w:eastAsia="楷体" w:asciiTheme="majorHAnsi" w:hAnsiTheme="majorHAnsi" w:cstheme="majorBidi"/>
          <w:bCs/>
          <w:sz w:val="28"/>
          <w:szCs w:val="32"/>
        </w:rPr>
        <w:t>（四）教学方法</w:t>
      </w:r>
      <w:bookmarkEnd w:id="26"/>
    </w:p>
    <w:p w14:paraId="380F9958">
      <w:pPr>
        <w:overflowPunct w:val="0"/>
        <w:spacing w:line="440" w:lineRule="exact"/>
        <w:ind w:firstLine="420" w:firstLineChars="200"/>
        <w:rPr>
          <w:rFonts w:asciiTheme="minorEastAsia" w:hAnsiTheme="minorEastAsia"/>
        </w:rPr>
      </w:pPr>
      <w:bookmarkStart w:id="27" w:name="_Toc89793289"/>
      <w:r>
        <w:rPr>
          <w:rFonts w:hint="eastAsia" w:asciiTheme="minorEastAsia" w:hAnsiTheme="minorEastAsia"/>
        </w:rPr>
        <w:t>为体现高职教育的特点，本专业教师依据专业培养目标、课程教学要求、学生能力与教学资源，不断进行各项教学方法改革。首先是改革语言教学模块，大力实施国际上流行的“交际教学法”和“任务型教学”。在国际商务课程模块实施“案例法”“项目驱动训练”，“顶岗实习实训”，坚持学中做、做中学。加大信息化教学的改革力度，创造混合式教学平台，促进学生自主学习、鼓励多元化的学习评估体系。</w:t>
      </w:r>
    </w:p>
    <w:p w14:paraId="0C64EDC9">
      <w:pPr>
        <w:keepNext/>
        <w:keepLines/>
        <w:snapToGrid w:val="0"/>
        <w:spacing w:before="100" w:beforeAutospacing="1" w:after="100" w:afterAutospacing="1"/>
        <w:ind w:left="420" w:leftChars="200"/>
        <w:outlineLvl w:val="1"/>
        <w:rPr>
          <w:rFonts w:hint="eastAsia" w:eastAsia="楷体" w:asciiTheme="majorHAnsi" w:hAnsiTheme="majorHAnsi" w:cstheme="majorBidi"/>
          <w:bCs/>
          <w:sz w:val="28"/>
          <w:szCs w:val="32"/>
        </w:rPr>
      </w:pPr>
      <w:r>
        <w:rPr>
          <w:rFonts w:hint="eastAsia" w:eastAsia="楷体" w:asciiTheme="majorHAnsi" w:hAnsiTheme="majorHAnsi" w:cstheme="majorBidi"/>
          <w:bCs/>
          <w:sz w:val="28"/>
          <w:szCs w:val="32"/>
        </w:rPr>
        <w:t>（五）学习评价</w:t>
      </w:r>
      <w:bookmarkEnd w:id="27"/>
    </w:p>
    <w:p w14:paraId="6098FFAF">
      <w:pPr>
        <w:overflowPunct w:val="0"/>
        <w:spacing w:line="440" w:lineRule="exact"/>
        <w:ind w:firstLine="420" w:firstLineChars="200"/>
        <w:rPr>
          <w:rFonts w:asciiTheme="minorEastAsia" w:hAnsiTheme="minorEastAsia"/>
        </w:rPr>
      </w:pPr>
      <w:bookmarkStart w:id="28" w:name="_Toc89793290"/>
      <w:r>
        <w:rPr>
          <w:rFonts w:hint="eastAsia" w:asciiTheme="minorEastAsia" w:hAnsiTheme="minorEastAsia"/>
        </w:rPr>
        <w:t>对教师的评估：</w:t>
      </w:r>
    </w:p>
    <w:p w14:paraId="2FED855D">
      <w:pPr>
        <w:overflowPunct w:val="0"/>
        <w:spacing w:line="440" w:lineRule="exact"/>
        <w:ind w:firstLine="420" w:firstLineChars="200"/>
        <w:rPr>
          <w:rFonts w:asciiTheme="minorEastAsia" w:hAnsiTheme="minorEastAsia"/>
        </w:rPr>
      </w:pPr>
      <w:r>
        <w:rPr>
          <w:rFonts w:hint="eastAsia" w:asciiTheme="minorEastAsia" w:hAnsiTheme="minorEastAsia"/>
        </w:rPr>
        <w:t>1.从教师投入、教学控制、产出质量等方面确立评估体系，从教师履职、课前准备、教学内容、教学方法以及教学产出效果等方面制定课程教学质量评估表；</w:t>
      </w:r>
    </w:p>
    <w:p w14:paraId="6509B0A7">
      <w:pPr>
        <w:overflowPunct w:val="0"/>
        <w:spacing w:line="440" w:lineRule="exact"/>
        <w:ind w:firstLine="420" w:firstLineChars="200"/>
        <w:rPr>
          <w:rFonts w:asciiTheme="minorEastAsia" w:hAnsiTheme="minorEastAsia"/>
        </w:rPr>
      </w:pPr>
      <w:r>
        <w:rPr>
          <w:rFonts w:hint="eastAsia" w:asciiTheme="minorEastAsia" w:hAnsiTheme="minorEastAsia"/>
        </w:rPr>
        <w:t>2.评估范围为所有专业类课程，但可根据具体情况在不同教学周期内对不同课程进行评估；</w:t>
      </w:r>
    </w:p>
    <w:p w14:paraId="1E408462">
      <w:pPr>
        <w:overflowPunct w:val="0"/>
        <w:spacing w:line="440" w:lineRule="exact"/>
        <w:ind w:firstLine="420" w:firstLineChars="200"/>
        <w:rPr>
          <w:rFonts w:asciiTheme="minorEastAsia" w:hAnsiTheme="minorEastAsia"/>
        </w:rPr>
      </w:pPr>
      <w:r>
        <w:rPr>
          <w:rFonts w:hint="eastAsia" w:asciiTheme="minorEastAsia" w:hAnsiTheme="minorEastAsia"/>
        </w:rPr>
        <w:t>3.课程评估可根据技能模块学习完成情况分段进行，采取学生网上评估、教师互评、兼职督导评估相结合方式；</w:t>
      </w:r>
    </w:p>
    <w:p w14:paraId="049DBB77">
      <w:pPr>
        <w:overflowPunct w:val="0"/>
        <w:spacing w:line="440" w:lineRule="exact"/>
        <w:ind w:firstLine="420" w:firstLineChars="200"/>
        <w:rPr>
          <w:rFonts w:asciiTheme="minorEastAsia" w:hAnsiTheme="minorEastAsia"/>
        </w:rPr>
      </w:pPr>
      <w:r>
        <w:rPr>
          <w:rFonts w:hint="eastAsia" w:asciiTheme="minorEastAsia" w:hAnsiTheme="minorEastAsia"/>
        </w:rPr>
        <w:t>4.对被评估的授课教师，要给出每一项评估指标评估值以及评估等级，并作为教师改进工作的依据。</w:t>
      </w:r>
    </w:p>
    <w:p w14:paraId="1A7EC0BD">
      <w:pPr>
        <w:overflowPunct w:val="0"/>
        <w:spacing w:line="440" w:lineRule="exact"/>
        <w:ind w:firstLine="420" w:firstLineChars="200"/>
        <w:rPr>
          <w:rFonts w:asciiTheme="minorEastAsia" w:hAnsiTheme="minorEastAsia"/>
        </w:rPr>
      </w:pPr>
      <w:r>
        <w:rPr>
          <w:rFonts w:hint="eastAsia" w:asciiTheme="minorEastAsia" w:hAnsiTheme="minorEastAsia"/>
        </w:rPr>
        <w:t>对学生的评估：</w:t>
      </w:r>
    </w:p>
    <w:p w14:paraId="318B41F7">
      <w:pPr>
        <w:overflowPunct w:val="0"/>
        <w:spacing w:line="440" w:lineRule="exact"/>
        <w:ind w:firstLine="420" w:firstLineChars="200"/>
        <w:rPr>
          <w:rFonts w:asciiTheme="minorEastAsia" w:hAnsiTheme="minorEastAsia"/>
        </w:rPr>
      </w:pPr>
      <w:r>
        <w:rPr>
          <w:rFonts w:hint="eastAsia" w:asciiTheme="minorEastAsia" w:hAnsiTheme="minorEastAsia"/>
        </w:rPr>
        <w:t>除了参考学生的学业成绩，本专业以学校奖学金评定方案和“工贸职业技师</w:t>
      </w:r>
      <w:r>
        <w:rPr>
          <w:rFonts w:asciiTheme="minorEastAsia" w:hAnsiTheme="minorEastAsia"/>
        </w:rPr>
        <w:t>”</w:t>
      </w:r>
      <w:r>
        <w:rPr>
          <w:rFonts w:hint="eastAsia" w:asciiTheme="minorEastAsia" w:hAnsiTheme="minorEastAsia"/>
        </w:rPr>
        <w:t>评选条件作为激励机制，提高人才培养质量，鼓励学生创新创业的实践；依托职业技能大赛，实现“以赛促学”。</w:t>
      </w:r>
    </w:p>
    <w:p w14:paraId="755C2D08">
      <w:pPr>
        <w:overflowPunct w:val="0"/>
        <w:spacing w:line="440" w:lineRule="exact"/>
        <w:ind w:firstLine="420" w:firstLineChars="200"/>
        <w:rPr>
          <w:rFonts w:asciiTheme="minorEastAsia" w:hAnsiTheme="minorEastAsia"/>
        </w:rPr>
      </w:pPr>
      <w:r>
        <w:rPr>
          <w:rFonts w:hint="eastAsia" w:asciiTheme="minorEastAsia" w:hAnsiTheme="minorEastAsia"/>
        </w:rPr>
        <w:t>利用混合式教学平台，多元化地对学生的学业进行评估，掌握学习成果的大数据，促进教学质量的改革。</w:t>
      </w:r>
    </w:p>
    <w:p w14:paraId="27716298">
      <w:pPr>
        <w:keepNext/>
        <w:keepLines/>
        <w:snapToGrid w:val="0"/>
        <w:spacing w:before="100" w:beforeAutospacing="1" w:after="100" w:afterAutospacing="1"/>
        <w:ind w:left="420" w:leftChars="200"/>
        <w:outlineLvl w:val="1"/>
        <w:rPr>
          <w:rFonts w:hint="eastAsia" w:eastAsia="楷体" w:asciiTheme="majorHAnsi" w:hAnsiTheme="majorHAnsi" w:cstheme="majorBidi"/>
          <w:bCs/>
          <w:sz w:val="28"/>
          <w:szCs w:val="32"/>
        </w:rPr>
      </w:pPr>
      <w:r>
        <w:rPr>
          <w:rFonts w:hint="eastAsia" w:eastAsia="楷体" w:asciiTheme="majorHAnsi" w:hAnsiTheme="majorHAnsi" w:cstheme="majorBidi"/>
          <w:bCs/>
          <w:sz w:val="28"/>
          <w:szCs w:val="32"/>
        </w:rPr>
        <w:t>（六）质量管理</w:t>
      </w:r>
      <w:bookmarkEnd w:id="28"/>
    </w:p>
    <w:p w14:paraId="6178E006">
      <w:pPr>
        <w:overflowPunct w:val="0"/>
        <w:spacing w:line="440" w:lineRule="exact"/>
        <w:ind w:firstLine="420" w:firstLineChars="200"/>
        <w:rPr>
          <w:rFonts w:asciiTheme="minorEastAsia" w:hAnsiTheme="minorEastAsia"/>
        </w:rPr>
      </w:pPr>
      <w:r>
        <w:rPr>
          <w:rFonts w:hint="eastAsia" w:asciiTheme="minorEastAsia" w:hAnsiTheme="minorEastAsia"/>
        </w:rPr>
        <w:t>建立健全校院两级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14:paraId="5403FE08">
      <w:pPr>
        <w:keepNext/>
        <w:keepLines/>
        <w:adjustRightInd w:val="0"/>
        <w:snapToGrid w:val="0"/>
        <w:spacing w:before="100" w:beforeAutospacing="1" w:after="100" w:afterAutospacing="1"/>
        <w:ind w:left="420" w:leftChars="200"/>
        <w:outlineLvl w:val="0"/>
        <w:rPr>
          <w:rFonts w:eastAsia="黑体"/>
          <w:bCs/>
          <w:kern w:val="44"/>
          <w:sz w:val="28"/>
          <w:szCs w:val="44"/>
        </w:rPr>
      </w:pPr>
      <w:bookmarkStart w:id="29" w:name="_Toc89793291"/>
      <w:r>
        <w:rPr>
          <w:rFonts w:hint="eastAsia" w:eastAsia="黑体"/>
          <w:bCs/>
          <w:kern w:val="44"/>
          <w:sz w:val="28"/>
          <w:szCs w:val="44"/>
        </w:rPr>
        <w:t>九、毕业要求</w:t>
      </w:r>
      <w:bookmarkEnd w:id="29"/>
    </w:p>
    <w:p w14:paraId="23B4E12A">
      <w:pPr>
        <w:keepNext/>
        <w:keepLines/>
        <w:snapToGrid w:val="0"/>
        <w:spacing w:before="100" w:beforeAutospacing="1" w:after="100" w:afterAutospacing="1"/>
        <w:ind w:left="420" w:leftChars="200"/>
        <w:outlineLvl w:val="1"/>
        <w:rPr>
          <w:rFonts w:hint="eastAsia" w:eastAsia="楷体" w:asciiTheme="majorHAnsi" w:hAnsiTheme="majorHAnsi" w:cstheme="majorBidi"/>
          <w:bCs/>
          <w:sz w:val="28"/>
          <w:szCs w:val="32"/>
        </w:rPr>
      </w:pPr>
      <w:bookmarkStart w:id="30" w:name="_Toc89793292"/>
      <w:r>
        <w:rPr>
          <w:rFonts w:hint="eastAsia" w:eastAsia="楷体" w:asciiTheme="majorHAnsi" w:hAnsiTheme="majorHAnsi" w:cstheme="majorBidi"/>
          <w:bCs/>
          <w:sz w:val="28"/>
          <w:szCs w:val="32"/>
        </w:rPr>
        <w:t>（一）学分要求</w:t>
      </w:r>
      <w:bookmarkEnd w:id="30"/>
    </w:p>
    <w:p w14:paraId="42B05CF6">
      <w:pPr>
        <w:ind w:firstLine="420" w:firstLineChars="200"/>
        <w:rPr>
          <w:rFonts w:asciiTheme="majorEastAsia" w:hAnsiTheme="majorEastAsia" w:eastAsiaTheme="majorEastAsia"/>
          <w:highlight w:val="none"/>
        </w:rPr>
      </w:pPr>
      <w:r>
        <w:rPr>
          <w:rFonts w:hint="eastAsia" w:asciiTheme="majorEastAsia" w:hAnsiTheme="majorEastAsia" w:eastAsiaTheme="majorEastAsia"/>
        </w:rPr>
        <w:t>本专业按学年学分制安排课程，学生需在规</w:t>
      </w:r>
      <w:r>
        <w:rPr>
          <w:rFonts w:hint="eastAsia" w:asciiTheme="majorEastAsia" w:hAnsiTheme="majorEastAsia" w:eastAsiaTheme="majorEastAsia"/>
          <w:highlight w:val="none"/>
        </w:rPr>
        <w:t>定年限内修满</w:t>
      </w:r>
      <w:r>
        <w:rPr>
          <w:rFonts w:hint="eastAsia" w:asciiTheme="minorEastAsia" w:hAnsiTheme="minorEastAsia"/>
          <w:highlight w:val="none"/>
        </w:rPr>
        <w:t>13</w:t>
      </w:r>
      <w:r>
        <w:rPr>
          <w:rFonts w:hint="eastAsia" w:asciiTheme="minorEastAsia" w:hAnsiTheme="minorEastAsia"/>
          <w:highlight w:val="none"/>
          <w:lang w:val="en-US" w:eastAsia="zh-CN"/>
        </w:rPr>
        <w:t>1</w:t>
      </w:r>
      <w:r>
        <w:rPr>
          <w:rFonts w:hint="eastAsia" w:asciiTheme="majorEastAsia" w:hAnsiTheme="majorEastAsia" w:eastAsiaTheme="majorEastAsia"/>
          <w:highlight w:val="none"/>
        </w:rPr>
        <w:t>学分。</w:t>
      </w:r>
    </w:p>
    <w:p w14:paraId="2BABE90E">
      <w:pPr>
        <w:keepNext/>
        <w:keepLines/>
        <w:snapToGrid w:val="0"/>
        <w:spacing w:before="100" w:beforeAutospacing="1" w:after="100" w:afterAutospacing="1"/>
        <w:ind w:left="420" w:leftChars="200"/>
        <w:outlineLvl w:val="1"/>
        <w:rPr>
          <w:rFonts w:eastAsia="楷体" w:asciiTheme="majorHAnsi" w:hAnsiTheme="majorHAnsi" w:cstheme="majorBidi"/>
          <w:bCs/>
          <w:sz w:val="28"/>
          <w:szCs w:val="32"/>
        </w:rPr>
      </w:pPr>
      <w:bookmarkStart w:id="31" w:name="_Toc89793293"/>
      <w:r>
        <w:rPr>
          <w:rFonts w:hint="eastAsia" w:eastAsia="楷体" w:asciiTheme="majorHAnsi" w:hAnsiTheme="majorHAnsi" w:cstheme="majorBidi"/>
          <w:bCs/>
          <w:sz w:val="28"/>
          <w:szCs w:val="32"/>
        </w:rPr>
        <w:t>（二）体质测试要求</w:t>
      </w:r>
      <w:bookmarkEnd w:id="31"/>
    </w:p>
    <w:p w14:paraId="6217914D">
      <w:pPr>
        <w:ind w:firstLine="420" w:firstLineChars="200"/>
        <w:rPr>
          <w:rFonts w:asciiTheme="majorEastAsia" w:hAnsiTheme="majorEastAsia" w:eastAsiaTheme="majorEastAsia"/>
        </w:rPr>
      </w:pPr>
      <w:r>
        <w:rPr>
          <w:rFonts w:hint="eastAsia" w:asciiTheme="majorEastAsia" w:hAnsiTheme="majorEastAsia" w:eastAsiaTheme="majorEastAsia"/>
        </w:rPr>
        <w:t>根据教育部关于印发《国家学生体质健康标准（2014年）修订》的通知（教体艺〔2014〕5号）文件要求，体质测试成绩达不到50分者按结业或肄业处理。</w:t>
      </w:r>
    </w:p>
    <w:p w14:paraId="4B788F4A">
      <w:pPr>
        <w:keepNext/>
        <w:keepLines/>
        <w:snapToGrid w:val="0"/>
        <w:spacing w:before="100" w:beforeAutospacing="1" w:after="100" w:afterAutospacing="1"/>
        <w:ind w:left="420" w:leftChars="200"/>
        <w:outlineLvl w:val="1"/>
        <w:rPr>
          <w:rFonts w:eastAsia="楷体" w:asciiTheme="majorHAnsi" w:hAnsiTheme="majorHAnsi" w:cstheme="majorBidi"/>
          <w:bCs/>
          <w:sz w:val="28"/>
          <w:szCs w:val="32"/>
        </w:rPr>
      </w:pPr>
      <w:bookmarkStart w:id="32" w:name="_Toc89793294"/>
      <w:r>
        <w:rPr>
          <w:rFonts w:hint="eastAsia" w:eastAsia="楷体" w:asciiTheme="majorHAnsi" w:hAnsiTheme="majorHAnsi" w:cstheme="majorBidi"/>
          <w:bCs/>
          <w:sz w:val="28"/>
          <w:szCs w:val="32"/>
        </w:rPr>
        <w:t>（三）德智体美劳全面发展培养要求</w:t>
      </w:r>
      <w:bookmarkEnd w:id="32"/>
    </w:p>
    <w:p w14:paraId="04418259">
      <w:pPr>
        <w:ind w:firstLine="420" w:firstLineChars="200"/>
        <w:rPr>
          <w:rFonts w:asciiTheme="majorEastAsia" w:hAnsiTheme="majorEastAsia" w:eastAsiaTheme="majorEastAsia"/>
        </w:rPr>
      </w:pPr>
      <w:r>
        <w:rPr>
          <w:rFonts w:hint="eastAsia" w:asciiTheme="majorEastAsia" w:hAnsiTheme="majorEastAsia" w:eastAsiaTheme="majorEastAsia"/>
        </w:rPr>
        <w:t>学生在校期间需参加第一课堂学习和参与第二课堂各类综合素质活动，通过综合评价，成绩合格（60分及以上）准予毕业。</w:t>
      </w:r>
    </w:p>
    <w:p w14:paraId="5BDB6218">
      <w:pPr>
        <w:ind w:firstLine="420" w:firstLineChars="200"/>
        <w:rPr>
          <w:rFonts w:asciiTheme="majorEastAsia" w:hAnsiTheme="majorEastAsia" w:eastAsiaTheme="majorEastAsia"/>
        </w:rPr>
      </w:pPr>
    </w:p>
    <w:bookmarkEnd w:id="23"/>
    <w:p w14:paraId="62FD7586">
      <w:pPr>
        <w:rPr>
          <w:rFonts w:asciiTheme="majorEastAsia" w:hAnsiTheme="majorEastAsia" w:eastAsiaTheme="majorEastAsi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597656"/>
    </w:sdtPr>
    <w:sdtContent>
      <w:p w14:paraId="64FC987E">
        <w:pPr>
          <w:pStyle w:val="10"/>
          <w:jc w:val="center"/>
        </w:pPr>
        <w:r>
          <w:fldChar w:fldCharType="begin"/>
        </w:r>
        <w:r>
          <w:instrText xml:space="preserve">PAGE   \* MERGEFORMAT</w:instrText>
        </w:r>
        <w:r>
          <w:fldChar w:fldCharType="separate"/>
        </w:r>
        <w:r>
          <w:rPr>
            <w:lang w:val="zh-CN"/>
          </w:rPr>
          <w:t>2</w:t>
        </w:r>
        <w:r>
          <w:fldChar w:fldCharType="end"/>
        </w:r>
      </w:p>
    </w:sdtContent>
  </w:sdt>
  <w:p w14:paraId="1C08CCFF">
    <w:pPr>
      <w:pStyle w:val="10"/>
      <w:tabs>
        <w:tab w:val="center" w:pos="4723"/>
        <w:tab w:val="clear" w:pos="4153"/>
      </w:tabs>
    </w:pPr>
  </w:p>
  <w:p w14:paraId="283411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427565"/>
    </w:sdtPr>
    <w:sdtContent>
      <w:p w14:paraId="3CC8F606">
        <w:pPr>
          <w:pStyle w:val="10"/>
          <w:jc w:val="center"/>
        </w:pPr>
        <w:r>
          <w:fldChar w:fldCharType="begin"/>
        </w:r>
        <w:r>
          <w:instrText xml:space="preserve">PAGE   \* MERGEFORMAT</w:instrText>
        </w:r>
        <w:r>
          <w:fldChar w:fldCharType="separate"/>
        </w:r>
        <w:r>
          <w:rPr>
            <w:lang w:val="zh-CN"/>
          </w:rPr>
          <w:t>26</w:t>
        </w:r>
        <w:r>
          <w:fldChar w:fldCharType="end"/>
        </w:r>
      </w:p>
    </w:sdtContent>
  </w:sdt>
  <w:p w14:paraId="6825EA24">
    <w:pPr>
      <w:pStyle w:val="10"/>
      <w:tabs>
        <w:tab w:val="center" w:pos="4723"/>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D2F76">
    <w:pPr>
      <w:widowControl/>
      <w:jc w:val="left"/>
    </w:pPr>
  </w:p>
  <w:p w14:paraId="110792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3ABE">
    <w:pPr>
      <w:widowControl/>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129D8"/>
    <w:multiLevelType w:val="singleLevel"/>
    <w:tmpl w:val="28C129D8"/>
    <w:lvl w:ilvl="0" w:tentative="0">
      <w:start w:val="1"/>
      <w:numFmt w:val="decimal"/>
      <w:suff w:val="space"/>
      <w:lvlText w:val="%1."/>
      <w:lvlJc w:val="left"/>
    </w:lvl>
  </w:abstractNum>
  <w:abstractNum w:abstractNumId="1">
    <w:nsid w:val="4C86979E"/>
    <w:multiLevelType w:val="singleLevel"/>
    <w:tmpl w:val="4C86979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05E75"/>
    <w:rsid w:val="00017FCB"/>
    <w:rsid w:val="000300ED"/>
    <w:rsid w:val="0003657F"/>
    <w:rsid w:val="00036947"/>
    <w:rsid w:val="00055708"/>
    <w:rsid w:val="000700EA"/>
    <w:rsid w:val="00090FF6"/>
    <w:rsid w:val="0009682F"/>
    <w:rsid w:val="000A29AA"/>
    <w:rsid w:val="000A450C"/>
    <w:rsid w:val="000C0FA1"/>
    <w:rsid w:val="000C6596"/>
    <w:rsid w:val="000C7388"/>
    <w:rsid w:val="000C7852"/>
    <w:rsid w:val="000D3F96"/>
    <w:rsid w:val="000D6E7B"/>
    <w:rsid w:val="000D70B8"/>
    <w:rsid w:val="000F0C82"/>
    <w:rsid w:val="000F3C03"/>
    <w:rsid w:val="000F4AD1"/>
    <w:rsid w:val="00105D55"/>
    <w:rsid w:val="001208F5"/>
    <w:rsid w:val="001246FB"/>
    <w:rsid w:val="001332B1"/>
    <w:rsid w:val="001416E7"/>
    <w:rsid w:val="0015555D"/>
    <w:rsid w:val="00156AE8"/>
    <w:rsid w:val="001639B3"/>
    <w:rsid w:val="00166366"/>
    <w:rsid w:val="00167066"/>
    <w:rsid w:val="001757B2"/>
    <w:rsid w:val="00177757"/>
    <w:rsid w:val="00184D15"/>
    <w:rsid w:val="001860B1"/>
    <w:rsid w:val="00193574"/>
    <w:rsid w:val="001A3E10"/>
    <w:rsid w:val="001A65F3"/>
    <w:rsid w:val="001C71F8"/>
    <w:rsid w:val="001C7CE0"/>
    <w:rsid w:val="001D5F7E"/>
    <w:rsid w:val="001E109D"/>
    <w:rsid w:val="001F58C9"/>
    <w:rsid w:val="002020C8"/>
    <w:rsid w:val="00210CAE"/>
    <w:rsid w:val="00213F8B"/>
    <w:rsid w:val="00216594"/>
    <w:rsid w:val="00223191"/>
    <w:rsid w:val="00230762"/>
    <w:rsid w:val="00235BAA"/>
    <w:rsid w:val="0024108A"/>
    <w:rsid w:val="002459E8"/>
    <w:rsid w:val="00255D53"/>
    <w:rsid w:val="00261216"/>
    <w:rsid w:val="00275BB9"/>
    <w:rsid w:val="00281378"/>
    <w:rsid w:val="00287A54"/>
    <w:rsid w:val="00291165"/>
    <w:rsid w:val="0029639D"/>
    <w:rsid w:val="00297B16"/>
    <w:rsid w:val="002B2F11"/>
    <w:rsid w:val="002C077C"/>
    <w:rsid w:val="002C3E00"/>
    <w:rsid w:val="002F39B6"/>
    <w:rsid w:val="002F4C77"/>
    <w:rsid w:val="00300141"/>
    <w:rsid w:val="003141B0"/>
    <w:rsid w:val="003212A9"/>
    <w:rsid w:val="00323D25"/>
    <w:rsid w:val="00324A42"/>
    <w:rsid w:val="00330AD4"/>
    <w:rsid w:val="003320C2"/>
    <w:rsid w:val="003433D0"/>
    <w:rsid w:val="00343525"/>
    <w:rsid w:val="00361E33"/>
    <w:rsid w:val="00361EEE"/>
    <w:rsid w:val="00375DDD"/>
    <w:rsid w:val="00382FDD"/>
    <w:rsid w:val="00384147"/>
    <w:rsid w:val="003901F2"/>
    <w:rsid w:val="00394448"/>
    <w:rsid w:val="003A4414"/>
    <w:rsid w:val="003B0225"/>
    <w:rsid w:val="003B1BFA"/>
    <w:rsid w:val="003B22E9"/>
    <w:rsid w:val="003B2425"/>
    <w:rsid w:val="003B7CBF"/>
    <w:rsid w:val="003E15DA"/>
    <w:rsid w:val="003E3731"/>
    <w:rsid w:val="003E5603"/>
    <w:rsid w:val="003E63D6"/>
    <w:rsid w:val="003F5287"/>
    <w:rsid w:val="0040069F"/>
    <w:rsid w:val="004019A5"/>
    <w:rsid w:val="00407580"/>
    <w:rsid w:val="00412EBF"/>
    <w:rsid w:val="00413372"/>
    <w:rsid w:val="0041392E"/>
    <w:rsid w:val="00421E82"/>
    <w:rsid w:val="00430069"/>
    <w:rsid w:val="00436F17"/>
    <w:rsid w:val="0046032C"/>
    <w:rsid w:val="004655A7"/>
    <w:rsid w:val="00466ACD"/>
    <w:rsid w:val="00476416"/>
    <w:rsid w:val="00477685"/>
    <w:rsid w:val="00481E3E"/>
    <w:rsid w:val="00486AB0"/>
    <w:rsid w:val="00491773"/>
    <w:rsid w:val="00492AC8"/>
    <w:rsid w:val="00496C56"/>
    <w:rsid w:val="004A2933"/>
    <w:rsid w:val="004A30C6"/>
    <w:rsid w:val="004A69FF"/>
    <w:rsid w:val="004B45A2"/>
    <w:rsid w:val="004B6F89"/>
    <w:rsid w:val="004D1ECF"/>
    <w:rsid w:val="004E31F9"/>
    <w:rsid w:val="004E7E1C"/>
    <w:rsid w:val="004F6F3E"/>
    <w:rsid w:val="00503F20"/>
    <w:rsid w:val="00516F3B"/>
    <w:rsid w:val="0052022E"/>
    <w:rsid w:val="00520D82"/>
    <w:rsid w:val="00523111"/>
    <w:rsid w:val="00526E2B"/>
    <w:rsid w:val="00530292"/>
    <w:rsid w:val="00530FD8"/>
    <w:rsid w:val="00535100"/>
    <w:rsid w:val="005536C4"/>
    <w:rsid w:val="00595EE9"/>
    <w:rsid w:val="00596CA8"/>
    <w:rsid w:val="005A10F6"/>
    <w:rsid w:val="005A1472"/>
    <w:rsid w:val="005A1793"/>
    <w:rsid w:val="005A6093"/>
    <w:rsid w:val="005B5F9F"/>
    <w:rsid w:val="005C597B"/>
    <w:rsid w:val="005C5F91"/>
    <w:rsid w:val="005D07EC"/>
    <w:rsid w:val="005E1C60"/>
    <w:rsid w:val="005E7EFF"/>
    <w:rsid w:val="005F0F8A"/>
    <w:rsid w:val="005F69FC"/>
    <w:rsid w:val="006042B2"/>
    <w:rsid w:val="0060626F"/>
    <w:rsid w:val="006108E7"/>
    <w:rsid w:val="00637A65"/>
    <w:rsid w:val="00637E6F"/>
    <w:rsid w:val="00640F49"/>
    <w:rsid w:val="00641691"/>
    <w:rsid w:val="00641E56"/>
    <w:rsid w:val="00662540"/>
    <w:rsid w:val="00664A08"/>
    <w:rsid w:val="00665AC9"/>
    <w:rsid w:val="00666747"/>
    <w:rsid w:val="006710A6"/>
    <w:rsid w:val="00674882"/>
    <w:rsid w:val="006774B2"/>
    <w:rsid w:val="00684B46"/>
    <w:rsid w:val="00694A57"/>
    <w:rsid w:val="006A5270"/>
    <w:rsid w:val="006A5551"/>
    <w:rsid w:val="006A699F"/>
    <w:rsid w:val="006B0773"/>
    <w:rsid w:val="006B14AF"/>
    <w:rsid w:val="006D4F34"/>
    <w:rsid w:val="006E2216"/>
    <w:rsid w:val="006E5F66"/>
    <w:rsid w:val="006E64BF"/>
    <w:rsid w:val="00715FDA"/>
    <w:rsid w:val="00717E08"/>
    <w:rsid w:val="00724BC6"/>
    <w:rsid w:val="00732640"/>
    <w:rsid w:val="00753FC2"/>
    <w:rsid w:val="007579B7"/>
    <w:rsid w:val="00767B76"/>
    <w:rsid w:val="00777917"/>
    <w:rsid w:val="00777CD1"/>
    <w:rsid w:val="007838B4"/>
    <w:rsid w:val="0078689D"/>
    <w:rsid w:val="007D745A"/>
    <w:rsid w:val="007F224C"/>
    <w:rsid w:val="007F494F"/>
    <w:rsid w:val="007F4D62"/>
    <w:rsid w:val="00803312"/>
    <w:rsid w:val="0080652B"/>
    <w:rsid w:val="008170AF"/>
    <w:rsid w:val="00821A28"/>
    <w:rsid w:val="00823E04"/>
    <w:rsid w:val="008275C6"/>
    <w:rsid w:val="0083375C"/>
    <w:rsid w:val="00847DD1"/>
    <w:rsid w:val="0085039E"/>
    <w:rsid w:val="00854BDE"/>
    <w:rsid w:val="00856108"/>
    <w:rsid w:val="00862662"/>
    <w:rsid w:val="00875FCD"/>
    <w:rsid w:val="00880F4F"/>
    <w:rsid w:val="0088431C"/>
    <w:rsid w:val="00884A18"/>
    <w:rsid w:val="00893D7E"/>
    <w:rsid w:val="008A112F"/>
    <w:rsid w:val="008A51E3"/>
    <w:rsid w:val="008A7F3C"/>
    <w:rsid w:val="008B7111"/>
    <w:rsid w:val="008D08D4"/>
    <w:rsid w:val="008D7BEE"/>
    <w:rsid w:val="008F36F4"/>
    <w:rsid w:val="008F4201"/>
    <w:rsid w:val="008F52B1"/>
    <w:rsid w:val="00902483"/>
    <w:rsid w:val="009043B4"/>
    <w:rsid w:val="00910C51"/>
    <w:rsid w:val="00911CAF"/>
    <w:rsid w:val="00913938"/>
    <w:rsid w:val="00916D6D"/>
    <w:rsid w:val="00922D44"/>
    <w:rsid w:val="00922F81"/>
    <w:rsid w:val="00930962"/>
    <w:rsid w:val="00932306"/>
    <w:rsid w:val="00933811"/>
    <w:rsid w:val="009352EC"/>
    <w:rsid w:val="00935518"/>
    <w:rsid w:val="00944098"/>
    <w:rsid w:val="0094587D"/>
    <w:rsid w:val="009466BB"/>
    <w:rsid w:val="009567F8"/>
    <w:rsid w:val="0096182F"/>
    <w:rsid w:val="00965B12"/>
    <w:rsid w:val="00972D0A"/>
    <w:rsid w:val="0098786C"/>
    <w:rsid w:val="00993C15"/>
    <w:rsid w:val="009A3150"/>
    <w:rsid w:val="009B58CE"/>
    <w:rsid w:val="009C78A3"/>
    <w:rsid w:val="009D203D"/>
    <w:rsid w:val="009D3727"/>
    <w:rsid w:val="009E6E1B"/>
    <w:rsid w:val="00A03019"/>
    <w:rsid w:val="00A042EA"/>
    <w:rsid w:val="00A07A0B"/>
    <w:rsid w:val="00A07B4B"/>
    <w:rsid w:val="00A316BC"/>
    <w:rsid w:val="00A4214D"/>
    <w:rsid w:val="00A42957"/>
    <w:rsid w:val="00A42ACC"/>
    <w:rsid w:val="00A75930"/>
    <w:rsid w:val="00AA5591"/>
    <w:rsid w:val="00AB690F"/>
    <w:rsid w:val="00AD0880"/>
    <w:rsid w:val="00AD61DB"/>
    <w:rsid w:val="00AE1602"/>
    <w:rsid w:val="00AF0CD1"/>
    <w:rsid w:val="00B0027C"/>
    <w:rsid w:val="00B02227"/>
    <w:rsid w:val="00B05CEB"/>
    <w:rsid w:val="00B142D2"/>
    <w:rsid w:val="00B1512A"/>
    <w:rsid w:val="00B261EA"/>
    <w:rsid w:val="00B4109E"/>
    <w:rsid w:val="00B5557E"/>
    <w:rsid w:val="00B616D6"/>
    <w:rsid w:val="00B62507"/>
    <w:rsid w:val="00B65653"/>
    <w:rsid w:val="00B8373D"/>
    <w:rsid w:val="00B93950"/>
    <w:rsid w:val="00B93D5E"/>
    <w:rsid w:val="00BA41E4"/>
    <w:rsid w:val="00BA7D68"/>
    <w:rsid w:val="00BB3ED2"/>
    <w:rsid w:val="00BC286F"/>
    <w:rsid w:val="00BC702C"/>
    <w:rsid w:val="00BD374B"/>
    <w:rsid w:val="00BD3C3D"/>
    <w:rsid w:val="00BF3F91"/>
    <w:rsid w:val="00C03B03"/>
    <w:rsid w:val="00C05E75"/>
    <w:rsid w:val="00C06316"/>
    <w:rsid w:val="00C2150F"/>
    <w:rsid w:val="00C329E9"/>
    <w:rsid w:val="00C34541"/>
    <w:rsid w:val="00C4294B"/>
    <w:rsid w:val="00C45E96"/>
    <w:rsid w:val="00C47133"/>
    <w:rsid w:val="00C53D4B"/>
    <w:rsid w:val="00C54290"/>
    <w:rsid w:val="00C63C3C"/>
    <w:rsid w:val="00C63FE5"/>
    <w:rsid w:val="00C657CF"/>
    <w:rsid w:val="00C671C0"/>
    <w:rsid w:val="00C71EC2"/>
    <w:rsid w:val="00C84474"/>
    <w:rsid w:val="00C974BC"/>
    <w:rsid w:val="00CA48EB"/>
    <w:rsid w:val="00CA5781"/>
    <w:rsid w:val="00CA7060"/>
    <w:rsid w:val="00CB0D45"/>
    <w:rsid w:val="00CB6C06"/>
    <w:rsid w:val="00CD5DA7"/>
    <w:rsid w:val="00CE5486"/>
    <w:rsid w:val="00CE5FFB"/>
    <w:rsid w:val="00CE6548"/>
    <w:rsid w:val="00CF04A2"/>
    <w:rsid w:val="00CF62F4"/>
    <w:rsid w:val="00D16207"/>
    <w:rsid w:val="00D23EEB"/>
    <w:rsid w:val="00D333CF"/>
    <w:rsid w:val="00D33C60"/>
    <w:rsid w:val="00D37FE9"/>
    <w:rsid w:val="00D47BE2"/>
    <w:rsid w:val="00D50C52"/>
    <w:rsid w:val="00D563A4"/>
    <w:rsid w:val="00D62B7E"/>
    <w:rsid w:val="00D7536B"/>
    <w:rsid w:val="00D8142A"/>
    <w:rsid w:val="00D90434"/>
    <w:rsid w:val="00D91C9D"/>
    <w:rsid w:val="00DB619C"/>
    <w:rsid w:val="00DB6461"/>
    <w:rsid w:val="00DB7075"/>
    <w:rsid w:val="00DC0B4E"/>
    <w:rsid w:val="00DD4732"/>
    <w:rsid w:val="00DE61AD"/>
    <w:rsid w:val="00DF15BF"/>
    <w:rsid w:val="00DF341B"/>
    <w:rsid w:val="00DF586E"/>
    <w:rsid w:val="00DF75A8"/>
    <w:rsid w:val="00E05D46"/>
    <w:rsid w:val="00E05D79"/>
    <w:rsid w:val="00E0712D"/>
    <w:rsid w:val="00E16B68"/>
    <w:rsid w:val="00E324DA"/>
    <w:rsid w:val="00E43A88"/>
    <w:rsid w:val="00E44786"/>
    <w:rsid w:val="00E63503"/>
    <w:rsid w:val="00E73DCC"/>
    <w:rsid w:val="00E76766"/>
    <w:rsid w:val="00E820F9"/>
    <w:rsid w:val="00E86982"/>
    <w:rsid w:val="00E91D96"/>
    <w:rsid w:val="00E96A8E"/>
    <w:rsid w:val="00EA4286"/>
    <w:rsid w:val="00EA7751"/>
    <w:rsid w:val="00EB3E73"/>
    <w:rsid w:val="00EB430B"/>
    <w:rsid w:val="00EB73C0"/>
    <w:rsid w:val="00EC1D13"/>
    <w:rsid w:val="00EC2AFA"/>
    <w:rsid w:val="00EC3CCD"/>
    <w:rsid w:val="00ED2DB4"/>
    <w:rsid w:val="00ED4BE5"/>
    <w:rsid w:val="00ED5916"/>
    <w:rsid w:val="00ED5AC2"/>
    <w:rsid w:val="00EE0AD0"/>
    <w:rsid w:val="00EE3D6C"/>
    <w:rsid w:val="00EE72F4"/>
    <w:rsid w:val="00EF7FFC"/>
    <w:rsid w:val="00F02F1A"/>
    <w:rsid w:val="00F15573"/>
    <w:rsid w:val="00F223D3"/>
    <w:rsid w:val="00F3036E"/>
    <w:rsid w:val="00F35E2E"/>
    <w:rsid w:val="00F42CCB"/>
    <w:rsid w:val="00F45641"/>
    <w:rsid w:val="00F47BD7"/>
    <w:rsid w:val="00F558B5"/>
    <w:rsid w:val="00F63BF7"/>
    <w:rsid w:val="00F6520C"/>
    <w:rsid w:val="00F67E89"/>
    <w:rsid w:val="00F7304C"/>
    <w:rsid w:val="00F75049"/>
    <w:rsid w:val="00F767AC"/>
    <w:rsid w:val="00F8037C"/>
    <w:rsid w:val="00F86105"/>
    <w:rsid w:val="00F9125F"/>
    <w:rsid w:val="00F9262D"/>
    <w:rsid w:val="00FA7516"/>
    <w:rsid w:val="00FA7658"/>
    <w:rsid w:val="00FB0762"/>
    <w:rsid w:val="00FB33D2"/>
    <w:rsid w:val="00FB5CC2"/>
    <w:rsid w:val="00FB71FD"/>
    <w:rsid w:val="00FB7BDD"/>
    <w:rsid w:val="00FC23A0"/>
    <w:rsid w:val="00FC2F2B"/>
    <w:rsid w:val="00FD0095"/>
    <w:rsid w:val="00FD0D7A"/>
    <w:rsid w:val="00FD4F19"/>
    <w:rsid w:val="00FD5C6A"/>
    <w:rsid w:val="00FD655F"/>
    <w:rsid w:val="00FD67F8"/>
    <w:rsid w:val="00FE1122"/>
    <w:rsid w:val="00FE4204"/>
    <w:rsid w:val="00FF1FEF"/>
    <w:rsid w:val="02DE1579"/>
    <w:rsid w:val="046C48D8"/>
    <w:rsid w:val="04952149"/>
    <w:rsid w:val="04FF037E"/>
    <w:rsid w:val="075C73C2"/>
    <w:rsid w:val="083168C6"/>
    <w:rsid w:val="09513D88"/>
    <w:rsid w:val="0A7A2CFF"/>
    <w:rsid w:val="0B2B2074"/>
    <w:rsid w:val="0C3A78F9"/>
    <w:rsid w:val="0C3C4EFE"/>
    <w:rsid w:val="0CB21E70"/>
    <w:rsid w:val="0E772D33"/>
    <w:rsid w:val="10F8124D"/>
    <w:rsid w:val="111218CA"/>
    <w:rsid w:val="12872F51"/>
    <w:rsid w:val="12A460C1"/>
    <w:rsid w:val="13144536"/>
    <w:rsid w:val="13A2680A"/>
    <w:rsid w:val="147113C5"/>
    <w:rsid w:val="14C842E9"/>
    <w:rsid w:val="152828AC"/>
    <w:rsid w:val="16082B1B"/>
    <w:rsid w:val="16E91354"/>
    <w:rsid w:val="1916198E"/>
    <w:rsid w:val="192B76E4"/>
    <w:rsid w:val="195F4BB1"/>
    <w:rsid w:val="1A1A75E1"/>
    <w:rsid w:val="1B9207E3"/>
    <w:rsid w:val="1C4A3D51"/>
    <w:rsid w:val="1FA25A26"/>
    <w:rsid w:val="1FC1131D"/>
    <w:rsid w:val="20D36AE6"/>
    <w:rsid w:val="22593F33"/>
    <w:rsid w:val="242A436B"/>
    <w:rsid w:val="245F2C87"/>
    <w:rsid w:val="248D23DA"/>
    <w:rsid w:val="253A4D8F"/>
    <w:rsid w:val="25455AD1"/>
    <w:rsid w:val="25A2059E"/>
    <w:rsid w:val="25F20562"/>
    <w:rsid w:val="264924D8"/>
    <w:rsid w:val="276D3009"/>
    <w:rsid w:val="2870659E"/>
    <w:rsid w:val="28B20D64"/>
    <w:rsid w:val="2A3F00CF"/>
    <w:rsid w:val="2A7326D2"/>
    <w:rsid w:val="2B3F7756"/>
    <w:rsid w:val="30FE2AF2"/>
    <w:rsid w:val="311074C5"/>
    <w:rsid w:val="317B001F"/>
    <w:rsid w:val="333D049B"/>
    <w:rsid w:val="33BB21BC"/>
    <w:rsid w:val="347314A2"/>
    <w:rsid w:val="362341E6"/>
    <w:rsid w:val="37BE43C9"/>
    <w:rsid w:val="38324E0B"/>
    <w:rsid w:val="38636FD4"/>
    <w:rsid w:val="39B00029"/>
    <w:rsid w:val="3AD64678"/>
    <w:rsid w:val="3AE943FA"/>
    <w:rsid w:val="3D2D637B"/>
    <w:rsid w:val="3DB62539"/>
    <w:rsid w:val="3E2B711B"/>
    <w:rsid w:val="3F2A4E41"/>
    <w:rsid w:val="3F5D447F"/>
    <w:rsid w:val="40134CEB"/>
    <w:rsid w:val="40AA1CF7"/>
    <w:rsid w:val="44BB092A"/>
    <w:rsid w:val="44F00175"/>
    <w:rsid w:val="47AA0E1C"/>
    <w:rsid w:val="48272C13"/>
    <w:rsid w:val="4A830CFF"/>
    <w:rsid w:val="4BF44968"/>
    <w:rsid w:val="4CBE77A4"/>
    <w:rsid w:val="4DD46D7F"/>
    <w:rsid w:val="52463675"/>
    <w:rsid w:val="53CA0A73"/>
    <w:rsid w:val="545F186C"/>
    <w:rsid w:val="55023D73"/>
    <w:rsid w:val="55542259"/>
    <w:rsid w:val="56DF5571"/>
    <w:rsid w:val="56FE68E2"/>
    <w:rsid w:val="573B0603"/>
    <w:rsid w:val="5808050B"/>
    <w:rsid w:val="58CA6ABC"/>
    <w:rsid w:val="59AE516E"/>
    <w:rsid w:val="5A1E0D6D"/>
    <w:rsid w:val="5AE76118"/>
    <w:rsid w:val="5AEA6936"/>
    <w:rsid w:val="5BBA658A"/>
    <w:rsid w:val="5EC525A6"/>
    <w:rsid w:val="5F335B3E"/>
    <w:rsid w:val="5F39021E"/>
    <w:rsid w:val="618E2539"/>
    <w:rsid w:val="62895A0F"/>
    <w:rsid w:val="633A1A32"/>
    <w:rsid w:val="6410048D"/>
    <w:rsid w:val="64A7413B"/>
    <w:rsid w:val="65063D9B"/>
    <w:rsid w:val="65B1156B"/>
    <w:rsid w:val="65D33E68"/>
    <w:rsid w:val="662C4F97"/>
    <w:rsid w:val="671F209E"/>
    <w:rsid w:val="67A10AAF"/>
    <w:rsid w:val="67D708BD"/>
    <w:rsid w:val="689478DF"/>
    <w:rsid w:val="68C77CB4"/>
    <w:rsid w:val="692534D8"/>
    <w:rsid w:val="69603C65"/>
    <w:rsid w:val="69FE1E6B"/>
    <w:rsid w:val="6AE01D44"/>
    <w:rsid w:val="6BDB56B5"/>
    <w:rsid w:val="6C722689"/>
    <w:rsid w:val="6CD26C28"/>
    <w:rsid w:val="6FC07562"/>
    <w:rsid w:val="70521576"/>
    <w:rsid w:val="716C13C3"/>
    <w:rsid w:val="73110EFF"/>
    <w:rsid w:val="73754EE7"/>
    <w:rsid w:val="739C460D"/>
    <w:rsid w:val="741E4E64"/>
    <w:rsid w:val="74B65081"/>
    <w:rsid w:val="754E5840"/>
    <w:rsid w:val="768C347E"/>
    <w:rsid w:val="78007FA2"/>
    <w:rsid w:val="781A2427"/>
    <w:rsid w:val="787212BF"/>
    <w:rsid w:val="7B382ECC"/>
    <w:rsid w:val="7F410897"/>
    <w:rsid w:val="7F6F47AA"/>
    <w:rsid w:val="7F6F5DD2"/>
    <w:rsid w:val="7F8436FE"/>
    <w:rsid w:val="7F9B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adjustRightInd w:val="0"/>
      <w:snapToGrid w:val="0"/>
      <w:spacing w:before="100" w:beforeAutospacing="1" w:after="100" w:afterAutospacing="1"/>
      <w:outlineLvl w:val="0"/>
    </w:pPr>
    <w:rPr>
      <w:b/>
      <w:bCs/>
      <w:kern w:val="44"/>
      <w:sz w:val="28"/>
      <w:szCs w:val="44"/>
    </w:rPr>
  </w:style>
  <w:style w:type="paragraph" w:styleId="3">
    <w:name w:val="heading 2"/>
    <w:basedOn w:val="1"/>
    <w:next w:val="1"/>
    <w:link w:val="27"/>
    <w:unhideWhenUsed/>
    <w:qFormat/>
    <w:uiPriority w:val="9"/>
    <w:pPr>
      <w:keepNext/>
      <w:keepLines/>
      <w:snapToGrid w:val="0"/>
      <w:spacing w:before="100" w:beforeAutospacing="1" w:after="100" w:afterAutospacing="1"/>
      <w:outlineLvl w:val="1"/>
    </w:pPr>
    <w:rPr>
      <w:rFonts w:asciiTheme="majorHAnsi" w:hAnsiTheme="majorHAnsi" w:eastAsiaTheme="majorEastAsia" w:cstheme="majorBidi"/>
      <w:b/>
      <w:bCs/>
      <w:sz w:val="28"/>
      <w:szCs w:val="32"/>
    </w:rPr>
  </w:style>
  <w:style w:type="paragraph" w:styleId="4">
    <w:name w:val="heading 3"/>
    <w:basedOn w:val="1"/>
    <w:next w:val="1"/>
    <w:link w:val="47"/>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caption"/>
    <w:basedOn w:val="1"/>
    <w:next w:val="1"/>
    <w:semiHidden/>
    <w:unhideWhenUsed/>
    <w:qFormat/>
    <w:uiPriority w:val="35"/>
    <w:rPr>
      <w:rFonts w:ascii="Arial" w:hAnsi="Arial" w:eastAsia="黑体"/>
      <w:sz w:val="20"/>
    </w:rPr>
  </w:style>
  <w:style w:type="paragraph" w:styleId="6">
    <w:name w:val="annotation text"/>
    <w:basedOn w:val="1"/>
    <w:link w:val="30"/>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31"/>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character" w:customStyle="1" w:styleId="24">
    <w:name w:val="批注框文本 Char"/>
    <w:basedOn w:val="18"/>
    <w:link w:val="9"/>
    <w:semiHidden/>
    <w:qFormat/>
    <w:uiPriority w:val="99"/>
    <w:rPr>
      <w:sz w:val="18"/>
      <w:szCs w:val="18"/>
    </w:rPr>
  </w:style>
  <w:style w:type="character" w:customStyle="1" w:styleId="25">
    <w:name w:val="标题 1 Char"/>
    <w:basedOn w:val="18"/>
    <w:link w:val="2"/>
    <w:qFormat/>
    <w:uiPriority w:val="9"/>
    <w:rPr>
      <w:b/>
      <w:bCs/>
      <w:kern w:val="44"/>
      <w:sz w:val="28"/>
      <w:szCs w:val="44"/>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27">
    <w:name w:val="标题 2 Char"/>
    <w:basedOn w:val="18"/>
    <w:link w:val="3"/>
    <w:qFormat/>
    <w:uiPriority w:val="9"/>
    <w:rPr>
      <w:rFonts w:asciiTheme="majorHAnsi" w:hAnsiTheme="majorHAnsi" w:eastAsiaTheme="majorEastAsia" w:cstheme="majorBidi"/>
      <w:b/>
      <w:bCs/>
      <w:sz w:val="28"/>
      <w:szCs w:val="32"/>
    </w:rPr>
  </w:style>
  <w:style w:type="character" w:customStyle="1" w:styleId="28">
    <w:name w:val="日期 Char"/>
    <w:basedOn w:val="18"/>
    <w:link w:val="8"/>
    <w:semiHidden/>
    <w:qFormat/>
    <w:uiPriority w:val="99"/>
    <w:rPr>
      <w:kern w:val="2"/>
      <w:sz w:val="21"/>
      <w:szCs w:val="22"/>
    </w:rPr>
  </w:style>
  <w:style w:type="table" w:customStyle="1" w:styleId="29">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批注文字 Char"/>
    <w:basedOn w:val="18"/>
    <w:link w:val="6"/>
    <w:semiHidden/>
    <w:qFormat/>
    <w:uiPriority w:val="99"/>
    <w:rPr>
      <w:kern w:val="2"/>
      <w:sz w:val="21"/>
      <w:szCs w:val="22"/>
    </w:rPr>
  </w:style>
  <w:style w:type="character" w:customStyle="1" w:styleId="31">
    <w:name w:val="批注主题 Char"/>
    <w:basedOn w:val="30"/>
    <w:link w:val="15"/>
    <w:semiHidden/>
    <w:qFormat/>
    <w:uiPriority w:val="99"/>
    <w:rPr>
      <w:b/>
      <w:bCs/>
      <w:kern w:val="2"/>
      <w:sz w:val="21"/>
      <w:szCs w:val="22"/>
    </w:rPr>
  </w:style>
  <w:style w:type="table" w:customStyle="1" w:styleId="32">
    <w:name w:val="网格型2"/>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font41"/>
    <w:basedOn w:val="18"/>
    <w:qFormat/>
    <w:uiPriority w:val="0"/>
    <w:rPr>
      <w:rFonts w:hint="eastAsia" w:ascii="宋体" w:hAnsi="宋体" w:eastAsia="宋体" w:cs="宋体"/>
      <w:color w:val="FF0000"/>
      <w:sz w:val="18"/>
      <w:szCs w:val="18"/>
      <w:u w:val="none"/>
    </w:rPr>
  </w:style>
  <w:style w:type="character" w:customStyle="1" w:styleId="34">
    <w:name w:val="font141"/>
    <w:basedOn w:val="18"/>
    <w:qFormat/>
    <w:uiPriority w:val="0"/>
    <w:rPr>
      <w:rFonts w:ascii="Symbol" w:hAnsi="Symbol" w:cs="Symbol"/>
      <w:color w:val="000000"/>
      <w:sz w:val="18"/>
      <w:szCs w:val="18"/>
      <w:u w:val="none"/>
    </w:rPr>
  </w:style>
  <w:style w:type="character" w:customStyle="1" w:styleId="35">
    <w:name w:val="font161"/>
    <w:basedOn w:val="18"/>
    <w:qFormat/>
    <w:uiPriority w:val="0"/>
    <w:rPr>
      <w:rFonts w:hint="eastAsia" w:ascii="宋体" w:hAnsi="宋体" w:eastAsia="宋体" w:cs="宋体"/>
      <w:color w:val="FF0000"/>
      <w:sz w:val="16"/>
      <w:szCs w:val="16"/>
      <w:u w:val="none"/>
    </w:rPr>
  </w:style>
  <w:style w:type="character" w:customStyle="1" w:styleId="36">
    <w:name w:val="font151"/>
    <w:basedOn w:val="18"/>
    <w:qFormat/>
    <w:uiPriority w:val="0"/>
    <w:rPr>
      <w:rFonts w:hint="default" w:ascii="Symbol" w:hAnsi="Symbol" w:cs="Symbol"/>
      <w:color w:val="000000"/>
      <w:sz w:val="21"/>
      <w:szCs w:val="21"/>
      <w:u w:val="none"/>
    </w:rPr>
  </w:style>
  <w:style w:type="character" w:customStyle="1" w:styleId="37">
    <w:name w:val="font71"/>
    <w:basedOn w:val="18"/>
    <w:qFormat/>
    <w:uiPriority w:val="0"/>
    <w:rPr>
      <w:rFonts w:hint="default" w:ascii="楷体_GB2312" w:eastAsia="楷体_GB2312" w:cs="楷体_GB2312"/>
      <w:color w:val="000000"/>
      <w:sz w:val="21"/>
      <w:szCs w:val="21"/>
      <w:u w:val="none"/>
    </w:rPr>
  </w:style>
  <w:style w:type="character" w:customStyle="1" w:styleId="38">
    <w:name w:val="font01"/>
    <w:basedOn w:val="18"/>
    <w:qFormat/>
    <w:uiPriority w:val="0"/>
    <w:rPr>
      <w:rFonts w:ascii="Symbol" w:hAnsi="Symbol" w:cs="Symbol"/>
      <w:color w:val="000000"/>
      <w:sz w:val="18"/>
      <w:szCs w:val="18"/>
      <w:u w:val="none"/>
    </w:rPr>
  </w:style>
  <w:style w:type="paragraph" w:styleId="39">
    <w:name w:val="List Paragraph"/>
    <w:basedOn w:val="1"/>
    <w:unhideWhenUsed/>
    <w:qFormat/>
    <w:uiPriority w:val="99"/>
    <w:pPr>
      <w:ind w:firstLine="420" w:firstLineChars="200"/>
    </w:pPr>
  </w:style>
  <w:style w:type="character" w:customStyle="1" w:styleId="40">
    <w:name w:val="font31"/>
    <w:basedOn w:val="18"/>
    <w:qFormat/>
    <w:uiPriority w:val="0"/>
    <w:rPr>
      <w:rFonts w:ascii="Symbol" w:hAnsi="Symbol" w:cs="Symbol"/>
      <w:color w:val="000000"/>
      <w:sz w:val="16"/>
      <w:szCs w:val="16"/>
      <w:u w:val="none"/>
    </w:rPr>
  </w:style>
  <w:style w:type="table" w:customStyle="1" w:styleId="41">
    <w:name w:val="网格型3"/>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font101"/>
    <w:basedOn w:val="18"/>
    <w:qFormat/>
    <w:uiPriority w:val="0"/>
    <w:rPr>
      <w:rFonts w:hint="eastAsia" w:ascii="宋体" w:hAnsi="宋体" w:eastAsia="宋体" w:cs="宋体"/>
      <w:color w:val="FF0000"/>
      <w:sz w:val="18"/>
      <w:szCs w:val="18"/>
      <w:u w:val="none"/>
    </w:rPr>
  </w:style>
  <w:style w:type="character" w:customStyle="1" w:styleId="43">
    <w:name w:val="font171"/>
    <w:basedOn w:val="18"/>
    <w:qFormat/>
    <w:uiPriority w:val="0"/>
    <w:rPr>
      <w:rFonts w:hint="eastAsia" w:ascii="宋体" w:hAnsi="宋体" w:eastAsia="宋体" w:cs="宋体"/>
      <w:color w:val="000000"/>
      <w:sz w:val="18"/>
      <w:szCs w:val="18"/>
      <w:u w:val="none"/>
    </w:rPr>
  </w:style>
  <w:style w:type="character" w:customStyle="1" w:styleId="44">
    <w:name w:val="font181"/>
    <w:basedOn w:val="18"/>
    <w:qFormat/>
    <w:uiPriority w:val="0"/>
    <w:rPr>
      <w:rFonts w:hint="eastAsia" w:ascii="宋体" w:hAnsi="宋体" w:eastAsia="宋体" w:cs="宋体"/>
      <w:color w:val="000000"/>
      <w:sz w:val="18"/>
      <w:szCs w:val="18"/>
      <w:u w:val="none"/>
    </w:rPr>
  </w:style>
  <w:style w:type="character" w:customStyle="1" w:styleId="45">
    <w:name w:val="font91"/>
    <w:basedOn w:val="18"/>
    <w:qFormat/>
    <w:uiPriority w:val="0"/>
    <w:rPr>
      <w:rFonts w:hint="eastAsia" w:ascii="宋体" w:hAnsi="宋体" w:eastAsia="宋体" w:cs="宋体"/>
      <w:color w:val="FF0000"/>
      <w:sz w:val="16"/>
      <w:szCs w:val="16"/>
      <w:u w:val="none"/>
    </w:rPr>
  </w:style>
  <w:style w:type="character" w:customStyle="1" w:styleId="46">
    <w:name w:val="font11"/>
    <w:basedOn w:val="18"/>
    <w:qFormat/>
    <w:uiPriority w:val="0"/>
    <w:rPr>
      <w:rFonts w:hint="default" w:ascii="楷体_GB2312" w:eastAsia="楷体_GB2312" w:cs="楷体_GB2312"/>
      <w:color w:val="000000"/>
      <w:sz w:val="21"/>
      <w:szCs w:val="21"/>
      <w:u w:val="none"/>
    </w:rPr>
  </w:style>
  <w:style w:type="character" w:customStyle="1" w:styleId="47">
    <w:name w:val="标题 3 Char"/>
    <w:basedOn w:val="18"/>
    <w:link w:val="4"/>
    <w:semiHidden/>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2666-5BA5-4352-8E4D-A9C97141CE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2886</Words>
  <Characters>2991</Characters>
  <Lines>136</Lines>
  <Paragraphs>38</Paragraphs>
  <TotalTime>1</TotalTime>
  <ScaleCrop>false</ScaleCrop>
  <LinksUpToDate>false</LinksUpToDate>
  <CharactersWithSpaces>3081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2019-10-16T10:11:00Z</dcterms:created>
  <dc:creator>谭立霞</dc:creator>
  <cp:lastModifiedBy>陈鹏</cp:lastModifiedBy>
  <dcterms:modified xsi:type="dcterms:W3CDTF">2025-05-30T02:02:21Z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14BC5327D86549A7A6C3E75C23DF6687</vt:lpwstr>
  </property>
  <property fmtid="{D5CDD505-2E9C-101B-9397-08002B2CF9AE}" pid="4" name="KSOTemplateDocerSaveRecord">
    <vt:lpwstr>eyJoZGlkIjoiOTc1MjFiYTk1NGYyN2Q0YzMyNzczNmI5MmQwZWZhMzgiLCJ1c2VySWQiOiIxNjQxNTIxMjM3In0=</vt:lpwstr>
  </property>
</Properties>
</file>