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ascii="宋体" w:hAnsi="宋体"/>
          <w:bCs/>
          <w:color w:val="auto"/>
          <w:kern w:val="2"/>
          <w:sz w:val="21"/>
          <w:szCs w:val="24"/>
        </w:rPr>
      </w:pPr>
      <w:r>
        <w:rPr>
          <w:rFonts w:ascii="宋体" w:hAnsi="宋体"/>
          <w:bCs/>
          <w:color w:val="auto"/>
          <w:kern w:val="2"/>
          <w:sz w:val="21"/>
          <w:szCs w:val="24"/>
        </w:rPr>
        <w:t>GDGM-QR-18-032-C/0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firstLine="0"/>
        <w:jc w:val="center"/>
        <w:textAlignment w:val="auto"/>
        <w:outlineLvl w:val="0"/>
        <w:rPr>
          <w:rFonts w:ascii="宋体" w:hAnsi="宋体"/>
          <w:bCs/>
          <w:color w:val="auto"/>
          <w:kern w:val="44"/>
          <w:sz w:val="32"/>
          <w:szCs w:val="32"/>
        </w:rPr>
      </w:pPr>
      <w:bookmarkStart w:id="0" w:name="_Toc211415677"/>
      <w:r>
        <w:rPr>
          <w:rFonts w:hint="eastAsia" w:ascii="宋体" w:hAnsi="宋体"/>
          <w:bCs/>
          <w:color w:val="auto"/>
          <w:kern w:val="44"/>
          <w:sz w:val="32"/>
          <w:szCs w:val="32"/>
        </w:rPr>
        <w:t>广东工贸职业技术学校资产处置审批表</w:t>
      </w:r>
      <w:bookmarkEnd w:id="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Style w:val="4"/>
          <w:rFonts w:ascii="宋体" w:hAnsi="宋体"/>
          <w:b w:val="0"/>
          <w:color w:val="auto"/>
          <w:kern w:val="44"/>
          <w:sz w:val="32"/>
          <w:szCs w:val="32"/>
        </w:rPr>
      </w:pPr>
      <w:r>
        <w:rPr>
          <w:rFonts w:hint="eastAsia" w:ascii="宋体" w:hAnsi="宋体"/>
          <w:color w:val="auto"/>
          <w:kern w:val="2"/>
          <w:sz w:val="21"/>
          <w:szCs w:val="24"/>
        </w:rPr>
        <w:t>使用部门：</w:t>
      </w:r>
      <w:r>
        <w:rPr>
          <w:rFonts w:ascii="宋体" w:hAnsi="宋体"/>
          <w:color w:val="auto"/>
          <w:kern w:val="2"/>
          <w:sz w:val="21"/>
          <w:szCs w:val="24"/>
        </w:rPr>
        <w:t xml:space="preserve">                   </w:t>
      </w:r>
    </w:p>
    <w:tbl>
      <w:tblPr>
        <w:tblStyle w:val="2"/>
        <w:tblpPr w:leftFromText="180" w:rightFromText="180" w:vertAnchor="text" w:horzAnchor="margin" w:tblpXSpec="center" w:tblpY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728"/>
        <w:gridCol w:w="1409"/>
        <w:gridCol w:w="4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资产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名称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规格型号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widowControl w:val="0"/>
              <w:wordWrap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原值</w:t>
            </w:r>
            <w:r>
              <w:rPr>
                <w:rFonts w:ascii="宋体" w:hAnsi="宋体"/>
                <w:color w:val="auto"/>
                <w:kern w:val="2"/>
                <w:sz w:val="21"/>
                <w:szCs w:val="24"/>
              </w:rPr>
              <w:t>(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元）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净值</w:t>
            </w:r>
            <w:r>
              <w:rPr>
                <w:rFonts w:ascii="宋体" w:hAnsi="宋体"/>
                <w:color w:val="auto"/>
                <w:kern w:val="2"/>
                <w:sz w:val="21"/>
                <w:szCs w:val="24"/>
              </w:rPr>
              <w:t>(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元）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取得日期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资产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来源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入账日期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处置类型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eastAsia="zh-CN"/>
              </w:rPr>
              <w:t>到期报废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报损□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/>
              </w:rPr>
              <w:t xml:space="preserve"> 出售、出让、转让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  <w:lang w:val="en-US" w:eastAsia="zh-CN"/>
              </w:rPr>
              <w:t xml:space="preserve"> 置换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  <w:t>处置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原因</w:t>
            </w: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ind w:firstLine="0"/>
              <w:jc w:val="both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kern w:val="2"/>
                <w:sz w:val="21"/>
                <w:szCs w:val="24"/>
              </w:rPr>
              <w:t xml:space="preserve"> </w:t>
            </w:r>
          </w:p>
          <w:p>
            <w:pPr>
              <w:widowControl w:val="0"/>
              <w:wordWrap w:val="0"/>
              <w:spacing w:line="240" w:lineRule="auto"/>
              <w:ind w:right="42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</w:t>
            </w:r>
          </w:p>
          <w:p>
            <w:pPr>
              <w:widowControl w:val="0"/>
              <w:spacing w:line="240" w:lineRule="auto"/>
              <w:ind w:right="42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40" w:lineRule="auto"/>
              <w:ind w:right="42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40" w:lineRule="auto"/>
              <w:ind w:right="420"/>
              <w:rPr>
                <w:rFonts w:ascii="宋体" w:hAnsi="宋体"/>
                <w:color w:val="auto"/>
                <w:kern w:val="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  <w:t>资产管理员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：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部门负责人：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6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资产处置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鉴定小组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</w:rPr>
              <w:t>(原单价10万元以下的由部门组织鉴定,原单价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</w:rPr>
              <w:t>万元以上的由资产主管部门牵头组织鉴</w:t>
            </w: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/>
              </w:rPr>
              <w:t>定）</w:t>
            </w: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ind w:right="1260" w:firstLine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  <w:t>处置意见：</w:t>
            </w:r>
          </w:p>
          <w:p>
            <w:pPr>
              <w:widowControl w:val="0"/>
              <w:spacing w:line="240" w:lineRule="auto"/>
              <w:ind w:right="1260" w:firstLine="0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wordWrap w:val="0"/>
              <w:spacing w:line="240" w:lineRule="auto"/>
              <w:ind w:right="210" w:firstLine="0"/>
              <w:jc w:val="right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wordWrap w:val="0"/>
              <w:spacing w:line="240" w:lineRule="auto"/>
              <w:ind w:right="21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wordWrap w:val="0"/>
              <w:spacing w:line="240" w:lineRule="auto"/>
              <w:ind w:right="420" w:firstLine="0"/>
              <w:jc w:val="left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  <w:t>鉴定人员签名：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  <w:t>招标采购及资产管理中心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意见</w:t>
            </w: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ind w:firstLine="105" w:firstLineChars="50"/>
              <w:jc w:val="both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                                                            </w:t>
            </w:r>
          </w:p>
          <w:p>
            <w:pPr>
              <w:widowControl w:val="0"/>
              <w:spacing w:line="240" w:lineRule="auto"/>
              <w:ind w:firstLine="105" w:firstLineChars="50"/>
              <w:jc w:val="center"/>
              <w:rPr>
                <w:rFonts w:ascii="宋体" w:hAnsi="宋体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主管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/>
              </w:rPr>
              <w:t>资产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校领导意见</w:t>
            </w: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ind w:right="42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96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  <w:t>学校办公会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  <w:t>批复</w:t>
            </w:r>
          </w:p>
        </w:tc>
        <w:tc>
          <w:tcPr>
            <w:tcW w:w="7924" w:type="dxa"/>
            <w:gridSpan w:val="3"/>
            <w:noWrap w:val="0"/>
            <w:vAlign w:val="top"/>
          </w:tcPr>
          <w:p>
            <w:pPr>
              <w:widowControl w:val="0"/>
              <w:spacing w:line="240" w:lineRule="auto"/>
              <w:ind w:right="945" w:firstLine="0"/>
              <w:jc w:val="both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/>
              </w:rPr>
              <w:t>经        年   月   日的学校办公会批准，同意报废（附会议纪要）。</w:t>
            </w: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right="420" w:firstLine="0"/>
              <w:jc w:val="right"/>
              <w:rPr>
                <w:rFonts w:ascii="宋体"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注: (1)原值单价10万元以下的固定资产,由使用部门牵头组织有关人员(需两人或以上) 进行鉴定,涉及下面类别的固定资产需有相应归口鉴定部门的人员参与: ①家具、空调类:总务后勤部;②电脑、网络类:信息中心;③实验、实训设备:实训中心 (注: ①、②类外的实验实训设备);④图书、档案类: 校长办公室、图书馆；(2) 原值单价在10万(含)元以上的资产需报资产主管部门,由资产主管部门牵头组成鉴定小组进行鉴定,但国家有强制报废规定的特种设备(如电梯、压力容器)、车辆等除外；(3) 资产现状的描述必须包括资产外观是否完整、功能有否缺失、性能是否满足使用要求或已被淘汰不再用、升级或维修能否改进或有否价值等。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720" w:lineRule="auto"/>
      </w:pPr>
      <w:r>
        <w:separator/>
      </w:r>
    </w:p>
  </w:footnote>
  <w:footnote w:type="continuationSeparator" w:id="1">
    <w:p>
      <w:pPr>
        <w:spacing w:line="7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0B95"/>
    <w:rsid w:val="32850B95"/>
    <w:rsid w:val="619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20" w:lineRule="auto"/>
      <w:ind w:firstLine="200"/>
    </w:pPr>
    <w:rPr>
      <w:rFonts w:ascii="Webdings" w:hAnsi="Webdings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styleId="5">
    <w:name w:val="No Spacing"/>
    <w:qFormat/>
    <w:uiPriority w:val="1"/>
    <w:pPr>
      <w:ind w:firstLine="200"/>
    </w:pPr>
    <w:rPr>
      <w:rFonts w:ascii="Webdings" w:hAnsi="Webdings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519</Characters>
  <Lines>0</Lines>
  <Paragraphs>0</Paragraphs>
  <TotalTime>1</TotalTime>
  <ScaleCrop>false</ScaleCrop>
  <LinksUpToDate>false</LinksUpToDate>
  <CharactersWithSpaces>743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2022-04-27T00:48:00Z</dcterms:created>
  <dc:creator>不是大鱼</dc:creator>
  <cp:lastModifiedBy>不是大鱼</cp:lastModifiedBy>
  <dcterms:modified xsi:type="dcterms:W3CDTF">2022-04-27T00:52:34Z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9B90E7EF24D948968EDC5827026E7749</vt:lpwstr>
  </property>
</Properties>
</file>